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全面建设“党建+”邻里中心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提升基层治理水平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u w:val="none"/>
        </w:rPr>
      </w:pPr>
      <w:r>
        <w:rPr>
          <w:rFonts w:hint="eastAsia" w:ascii="黑体" w:hAnsi="黑体" w:eastAsia="黑体" w:cs="黑体"/>
          <w:u w:val="none"/>
        </w:rPr>
        <w:t>一、指导思想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仿宋_GB2312" w:hAnsi="仿宋_GB2312" w:eastAsia="仿宋_GB2312" w:cs="仿宋_GB2312"/>
          <w:u w:val="none"/>
        </w:rPr>
        <w:t>以习近平新时代中国特色社会主义思想为指导，深入贯彻党的十九大和十九届历次全会精神及中央关于加强基层治理体系和治理能力现代化建设的精神，</w:t>
      </w:r>
      <w:r>
        <w:rPr>
          <w:rFonts w:ascii="Times New Roman" w:hAnsi="Times New Roman" w:eastAsia="仿宋_GB2312" w:cs="Times New Roman"/>
          <w:color w:val="auto"/>
          <w:sz w:val="32"/>
          <w:szCs w:val="32"/>
          <w:u w:val="none"/>
        </w:rPr>
        <w:t>落实习近平总书记关于社区工作“三个如何”重要指示要求，</w:t>
      </w:r>
      <w:r>
        <w:rPr>
          <w:rFonts w:hint="eastAsia" w:ascii="仿宋_GB2312" w:hAnsi="仿宋_GB2312" w:eastAsia="仿宋_GB2312" w:cs="仿宋_GB2312"/>
          <w:u w:val="none"/>
        </w:rPr>
        <w:t>弘扬“晋江经验”，</w:t>
      </w:r>
      <w:r>
        <w:rPr>
          <w:rFonts w:hint="eastAsia" w:ascii="Times New Roman" w:hAnsi="Times New Roman" w:eastAsia="仿宋_GB2312" w:cs="Times New Roman"/>
          <w:color w:val="auto"/>
          <w:sz w:val="32"/>
          <w:szCs w:val="32"/>
          <w:u w:val="none"/>
          <w:lang w:eastAsia="zh-CN"/>
        </w:rPr>
        <w:t>传承新时代</w:t>
      </w:r>
      <w:r>
        <w:rPr>
          <w:rFonts w:ascii="Times New Roman" w:hAnsi="Times New Roman" w:eastAsia="仿宋_GB2312" w:cs="Times New Roman"/>
          <w:color w:val="auto"/>
          <w:sz w:val="32"/>
          <w:szCs w:val="32"/>
          <w:u w:val="none"/>
        </w:rPr>
        <w:t>“</w:t>
      </w:r>
      <w:r>
        <w:rPr>
          <w:rFonts w:hint="eastAsia" w:ascii="Times New Roman" w:hAnsi="Times New Roman" w:eastAsia="仿宋_GB2312" w:cs="Times New Roman"/>
          <w:color w:val="auto"/>
          <w:sz w:val="32"/>
          <w:szCs w:val="32"/>
          <w:u w:val="none"/>
          <w:lang w:val="en-US" w:eastAsia="zh-CN"/>
        </w:rPr>
        <w:t>惠女精神</w:t>
      </w:r>
      <w:r>
        <w:rPr>
          <w:rFonts w:ascii="Times New Roman" w:hAnsi="Times New Roman" w:eastAsia="仿宋_GB2312" w:cs="Times New Roman"/>
          <w:color w:val="auto"/>
          <w:sz w:val="32"/>
          <w:szCs w:val="32"/>
          <w:u w:val="none"/>
        </w:rPr>
        <w:t>”，</w:t>
      </w:r>
      <w:r>
        <w:rPr>
          <w:rFonts w:hint="eastAsia" w:ascii="仿宋_GB2312" w:hAnsi="仿宋_GB2312" w:eastAsia="仿宋_GB2312" w:cs="仿宋_GB2312"/>
          <w:u w:val="none"/>
        </w:rPr>
        <w:t>深入践行“远亲不如近邻”“社会治理的重心必须落实到城乡、社区”等重要理念，依托现有党群服务中心，建设开放、集约、共享的“党建+”邻里中心，为群众提供优质资源服务，让城市发展更有温度、民生福祉更有质感，在夯实党的执政根基、提升城市治理能级</w:t>
      </w:r>
      <w:r>
        <w:rPr>
          <w:rFonts w:ascii="Times New Roman" w:hAnsi="Times New Roman" w:eastAsia="仿宋_GB2312" w:cs="Times New Roman"/>
          <w:color w:val="auto"/>
          <w:sz w:val="32"/>
          <w:szCs w:val="32"/>
          <w:u w:val="none"/>
        </w:rPr>
        <w:t>，加快建设海丝现代化工贸港口旅游城市，致力打造泉州新增长极，奋力谱写全面建设社会主义现代化国家惠安篇章上</w:t>
      </w:r>
      <w:r>
        <w:rPr>
          <w:rFonts w:hint="eastAsia" w:ascii="仿宋_GB2312" w:hAnsi="仿宋_GB2312" w:eastAsia="仿宋_GB2312" w:cs="仿宋_GB2312"/>
          <w:u w:val="none"/>
        </w:rPr>
        <w:t>发挥重要作用。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u w:val="none"/>
        </w:rPr>
      </w:pPr>
      <w:r>
        <w:rPr>
          <w:rFonts w:hint="eastAsia" w:ascii="黑体" w:hAnsi="黑体" w:eastAsia="黑体" w:cs="黑体"/>
          <w:u w:val="none"/>
        </w:rPr>
        <w:t>二、基本原则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仿宋_GB2312" w:hAnsi="仿宋_GB2312" w:eastAsia="仿宋_GB2312" w:cs="仿宋_GB2312"/>
          <w:u w:val="none"/>
        </w:rPr>
        <w:t>着眼于打造优质高效的“一刻钟”便民服务圈，以“1+6+X”的模式建设“党建+”邻里中心。“1”就是坚持党建引领基层治理主线，“6”就是集成村（社区）“老有所养、幼有所育、病有所医、食有所安、居有所乐、事有所办”等6项优质服务功能，“X”就是根据不同村（社区）实际，拓展群众所需所盼的其他功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1.坚持党的领导，统领建设。</w:t>
      </w:r>
      <w:r>
        <w:rPr>
          <w:rFonts w:hint="eastAsia" w:ascii="仿宋_GB2312" w:hAnsi="仿宋_GB2312" w:eastAsia="仿宋_GB2312" w:cs="仿宋_GB2312"/>
          <w:u w:val="none"/>
        </w:rPr>
        <w:t>以乡镇、村（社区）党组织为主体，构建“乡镇、村（社区）党组织领衔，职能部门保障支持，各类组织积极参与，专职工作人员有力支撑，党员群众主体作用充分发挥”工作格局，综合考虑区域资源禀赋、区位条件、人群特征等因素，科学规划、合理布局“党建+”邻里中心建设，坚持整体形象规范美观、外观标识一致，把邻里中心建在人流密集、交通便利、步行可达的位置，并向小区、园区、自然村等网格延伸，因地制宜设置不同功能的服务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2.坚持以人为本，服务至上。</w:t>
      </w:r>
      <w:r>
        <w:rPr>
          <w:rFonts w:hint="eastAsia" w:ascii="仿宋_GB2312" w:hAnsi="仿宋_GB2312" w:eastAsia="仿宋_GB2312" w:cs="仿宋_GB2312"/>
          <w:u w:val="none"/>
        </w:rPr>
        <w:t>坚持人民主体地位，以“群众满意与否、认可与否”作为邻里中心建设成效的最终评判标准，坚持“办公空间趋零化、服务空间最大化”，最大程度将村（社区）办公阵地转化为群众活动场所，开门办中心、搞活动、做服务。着眼务实管用、基层爱用、群众受用，注重畅通渠道、做细沟通，精准掌握村（社区）党员群众需求，优化服务阵地、拓展服务功能、丰富服务项目，让广大党员群众走进来、留下来、聚起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3.坚持系统集成，融合共享。</w:t>
      </w:r>
      <w:r>
        <w:rPr>
          <w:rFonts w:hint="eastAsia" w:ascii="仿宋_GB2312" w:hAnsi="仿宋_GB2312" w:eastAsia="仿宋_GB2312" w:cs="仿宋_GB2312"/>
          <w:u w:val="none"/>
        </w:rPr>
        <w:t>按照“区域统筹、资源整合、优势互补、共建共享”工作理念，最大限度汇聚各级职能部门服务资源、服务力量，强化功能系统集成，推动邻里中心物理空间融合、工作力量融合、服务资源融合、信息数据融合，全面为群众开展党群、政务、养老、托幼、教育、健康、文体、生活等综合性服务。鼓励邻里中心向周边村（社区）开放共享，党员群众可就近到周边任何一个邻里中心参加活动、享受便利，发挥邻里中心最大效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u w:val="none"/>
        </w:rPr>
      </w:pPr>
      <w:r>
        <w:rPr>
          <w:rFonts w:hint="eastAsia" w:ascii="黑体" w:hAnsi="黑体" w:eastAsia="黑体" w:cs="黑体"/>
          <w:u w:val="none"/>
        </w:rPr>
        <w:t>三、目标任务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仿宋_GB2312" w:hAnsi="仿宋_GB2312" w:eastAsia="仿宋_GB2312" w:cs="仿宋_GB2312"/>
          <w:u w:val="none"/>
        </w:rPr>
        <w:t>坚持高标准谋划、高质量建设、高效率运转，着力把“党建+”邻里中心建设成为党领导基层治理的坚强阵地，健全“乡镇党委--村（社区）</w:t>
      </w:r>
      <w:r>
        <w:rPr>
          <w:rFonts w:hint="eastAsia" w:ascii="仿宋_GB2312" w:hAnsi="仿宋_GB2312" w:eastAsia="仿宋_GB2312" w:cs="仿宋_GB2312"/>
          <w:u w:val="none"/>
          <w:lang w:eastAsia="zh-CN"/>
        </w:rPr>
        <w:t>党组织</w:t>
      </w:r>
      <w:r>
        <w:rPr>
          <w:rFonts w:hint="eastAsia" w:ascii="仿宋_GB2312" w:hAnsi="仿宋_GB2312" w:eastAsia="仿宋_GB2312" w:cs="仿宋_GB2312"/>
          <w:u w:val="none"/>
        </w:rPr>
        <w:t>--小区（网格</w:t>
      </w:r>
      <w:r>
        <w:rPr>
          <w:rFonts w:hint="eastAsia" w:ascii="仿宋_GB2312" w:hAnsi="仿宋_GB2312" w:eastAsia="仿宋_GB2312" w:cs="仿宋_GB2312"/>
          <w:u w:val="none"/>
          <w:lang w:eastAsia="zh-CN"/>
        </w:rPr>
        <w:t>、自然村</w:t>
      </w:r>
      <w:r>
        <w:rPr>
          <w:rFonts w:hint="eastAsia" w:ascii="仿宋_GB2312" w:hAnsi="仿宋_GB2312" w:eastAsia="仿宋_GB2312" w:cs="仿宋_GB2312"/>
          <w:u w:val="none"/>
        </w:rPr>
        <w:t>）党支部</w:t>
      </w:r>
      <w:r>
        <w:rPr>
          <w:rFonts w:hint="eastAsia" w:ascii="仿宋_GB2312" w:hAnsi="仿宋_GB2312" w:eastAsia="仿宋_GB2312" w:cs="仿宋_GB2312"/>
          <w:u w:val="none"/>
          <w:lang w:eastAsia="zh-CN"/>
        </w:rPr>
        <w:t>（</w:t>
      </w:r>
      <w:r>
        <w:rPr>
          <w:rFonts w:hint="eastAsia" w:ascii="仿宋_GB2312" w:hAnsi="仿宋_GB2312" w:eastAsia="仿宋_GB2312" w:cs="仿宋_GB2312"/>
          <w:u w:val="none"/>
        </w:rPr>
        <w:t>党小组</w:t>
      </w:r>
      <w:r>
        <w:rPr>
          <w:rFonts w:hint="eastAsia" w:ascii="仿宋_GB2312" w:hAnsi="仿宋_GB2312" w:eastAsia="仿宋_GB2312" w:cs="仿宋_GB2312"/>
          <w:u w:val="none"/>
          <w:lang w:eastAsia="zh-CN"/>
        </w:rPr>
        <w:t>）</w:t>
      </w:r>
      <w:r>
        <w:rPr>
          <w:rFonts w:hint="eastAsia" w:ascii="仿宋_GB2312" w:hAnsi="仿宋_GB2312" w:eastAsia="仿宋_GB2312" w:cs="仿宋_GB2312"/>
          <w:u w:val="none"/>
        </w:rPr>
        <w:t>--党员联系户”穿透式组织体系，强化乡镇、村（社区）党组织在区域内各项事务中的组织力、凝聚力、号召力和引领力；建设成为城乡治理“枫桥经验”实践地，让党员群众的揪心事、烦心事、操心事在邻里中心就地解决；建设成为服务党员群众、融洽邻里关系的温馨家园，不断为党员群众提供更精准、更便捷、更优质的服务；建设成为基层疫情防控、防汛救灾、国防动员等应急处突“红色前哨”，为基层防控指挥、宣传动员、物资保供、群众服务提供综合保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仿宋_GB2312" w:hAnsi="仿宋_GB2312" w:eastAsia="仿宋_GB2312" w:cs="仿宋_GB2312"/>
          <w:u w:val="none"/>
        </w:rPr>
        <w:t>县直相关职能部门、各镇要主动推动各项服务资源下沉融合到邻里中心，坚持能融尽融，在邻里中心最大限度集约各项便民服务功能，到2022年底，全县至少建成5个“党建+”社区邻里中心，覆盖50%以上社区；到2023年底，至少建成7个“党建+”社区邻里中心，覆盖全县所有社区。对农村和工业园区，要根据常住人口数、发展需要、群众需求，建设“党建+”邻里中心，到2022年底，全县至少建成</w:t>
      </w:r>
      <w:r>
        <w:rPr>
          <w:rFonts w:hint="eastAsia" w:ascii="仿宋_GB2312" w:hAnsi="仿宋_GB2312" w:eastAsia="仿宋_GB2312" w:cs="仿宋_GB2312"/>
          <w:u w:val="none"/>
          <w:lang w:val="en-US" w:eastAsia="zh-CN"/>
        </w:rPr>
        <w:t>20</w:t>
      </w:r>
      <w:r>
        <w:rPr>
          <w:rFonts w:hint="eastAsia" w:ascii="仿宋_GB2312" w:hAnsi="仿宋_GB2312" w:eastAsia="仿宋_GB2312" w:cs="仿宋_GB2312"/>
          <w:u w:val="none"/>
        </w:rPr>
        <w:t>个“党建+”乡村邻里中心</w:t>
      </w:r>
      <w:r>
        <w:rPr>
          <w:rFonts w:hint="eastAsia" w:ascii="仿宋_GB2312" w:hAnsi="仿宋_GB2312" w:eastAsia="仿宋_GB2312" w:cs="仿宋_GB2312"/>
          <w:u w:val="none"/>
          <w:lang w:eastAsia="zh-CN"/>
        </w:rPr>
        <w:t>，</w:t>
      </w:r>
      <w:r>
        <w:rPr>
          <w:rFonts w:hint="eastAsia" w:ascii="仿宋_GB2312" w:hAnsi="仿宋_GB2312" w:eastAsia="仿宋_GB2312" w:cs="仿宋_GB2312"/>
          <w:u w:val="none"/>
        </w:rPr>
        <w:t>除螺城、</w:t>
      </w:r>
      <w:r>
        <w:rPr>
          <w:rFonts w:hint="eastAsia" w:ascii="仿宋_GB2312" w:hAnsi="仿宋_GB2312" w:eastAsia="仿宋_GB2312" w:cs="仿宋_GB2312"/>
          <w:u w:val="none"/>
          <w:lang w:eastAsia="zh-CN"/>
        </w:rPr>
        <w:t>小岞</w:t>
      </w:r>
      <w:r>
        <w:rPr>
          <w:rFonts w:hint="eastAsia" w:ascii="仿宋_GB2312" w:hAnsi="仿宋_GB2312" w:eastAsia="仿宋_GB2312" w:cs="仿宋_GB2312"/>
          <w:u w:val="none"/>
        </w:rPr>
        <w:t>外的</w:t>
      </w:r>
      <w:r>
        <w:rPr>
          <w:rFonts w:hint="eastAsia" w:ascii="仿宋_GB2312" w:hAnsi="仿宋_GB2312" w:eastAsia="仿宋_GB2312" w:cs="仿宋_GB2312"/>
          <w:u w:val="none"/>
          <w:lang w:eastAsia="zh-CN"/>
        </w:rPr>
        <w:t>乡镇</w:t>
      </w:r>
      <w:r>
        <w:rPr>
          <w:rFonts w:hint="eastAsia" w:ascii="仿宋_GB2312" w:hAnsi="仿宋_GB2312" w:eastAsia="仿宋_GB2312" w:cs="仿宋_GB2312"/>
          <w:u w:val="none"/>
        </w:rPr>
        <w:t>至少建成</w:t>
      </w:r>
      <w:r>
        <w:rPr>
          <w:rFonts w:hint="eastAsia" w:ascii="仿宋_GB2312" w:hAnsi="仿宋_GB2312" w:eastAsia="仿宋_GB2312" w:cs="仿宋_GB2312"/>
          <w:u w:val="none"/>
          <w:lang w:val="en-US" w:eastAsia="zh-CN"/>
        </w:rPr>
        <w:t>2</w:t>
      </w:r>
      <w:r>
        <w:rPr>
          <w:rFonts w:hint="eastAsia" w:ascii="仿宋_GB2312" w:hAnsi="仿宋_GB2312" w:eastAsia="仿宋_GB2312" w:cs="仿宋_GB2312"/>
          <w:u w:val="none"/>
        </w:rPr>
        <w:t>个“党建+”乡村邻里中心；到2023年底，常住人口超3000人的村基本规范建成“党建+”乡村邻里中心，泉惠石化工业园区、惠安经济开发区</w:t>
      </w:r>
      <w:r>
        <w:rPr>
          <w:rFonts w:hint="eastAsia" w:ascii="仿宋_GB2312" w:hAnsi="仿宋_GB2312" w:eastAsia="仿宋_GB2312" w:cs="仿宋_GB2312"/>
          <w:u w:val="none"/>
          <w:lang w:eastAsia="zh-CN"/>
        </w:rPr>
        <w:t>分别</w:t>
      </w:r>
      <w:r>
        <w:rPr>
          <w:rFonts w:hint="eastAsia" w:ascii="仿宋_GB2312" w:hAnsi="仿宋_GB2312" w:eastAsia="仿宋_GB2312" w:cs="仿宋_GB2312"/>
          <w:u w:val="none"/>
        </w:rPr>
        <w:t>建设1个“党建+”园区邻里中心。鼓励在商务楼宇、商圈市场和较大企业因地制宜建设富有特色、开放共享的“党建+”邻里中心。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u w:val="none"/>
        </w:rPr>
      </w:pPr>
      <w:r>
        <w:rPr>
          <w:rFonts w:hint="eastAsia" w:ascii="黑体" w:hAnsi="黑体" w:eastAsia="黑体" w:cs="黑体"/>
          <w:u w:val="none"/>
        </w:rPr>
        <w:t>四、功能要求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1.强化党建引领功能。</w:t>
      </w:r>
      <w:r>
        <w:rPr>
          <w:rFonts w:hint="eastAsia" w:ascii="仿宋_GB2312" w:hAnsi="仿宋_GB2312" w:eastAsia="仿宋_GB2312" w:cs="仿宋_GB2312"/>
          <w:u w:val="none"/>
        </w:rPr>
        <w:t>将“党建+”邻里中心建设成为基层党员学思践悟习近平新时代中国特色社会主义思想、守初心担使命的主阵地。全面深化近邻党建，强化党建引领网格管理，在各个网格、小区建立党组织，积极探索社区、小区物业党建联建，推动社区“两委”、小区党支部班子成员和业委会、物业服务企业党员负责人“双向进入、交叉任职”，健全完善党组织引领下的居委会、业委会、物业服务企业协调运行机制。设立党建联盟，加强区域内各类党组织互动联建，建立需求、资源、项目“三张清单”，推行“党员议事会”“两长一员”、在职党员“双报到”、党员“三诺”等制度，将党员议事厅融入“党建+”邻里中心，充分发挥邻里中心在促进居民群众交往交融、推动自治共治联动、推进社区共同体建设等方面的作用，提高乡镇、村（社区）党组织引领群众参与社区治理的能力和水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2.强化便民办事功能。</w:t>
      </w:r>
      <w:r>
        <w:rPr>
          <w:rFonts w:hint="eastAsia" w:ascii="仿宋_GB2312" w:hAnsi="仿宋_GB2312" w:eastAsia="仿宋_GB2312" w:cs="仿宋_GB2312"/>
          <w:u w:val="none"/>
        </w:rPr>
        <w:t>全面梳理审批和便民服务事项权限，优化办事流程，简化办事手续，按照“应放尽放、能放尽放”原则，推动更多高频类服务事项下放村（社区）。兼顾老年群体和年轻群体等不同特点和需求，设立24小时便民服务自助终端机，设置便民服务代办点，全面推行错时延时服务、预约服务、上门服务、全程代办和“一窗受理”“一站办理”“一次提交”“一次办结”等服务机制，并依托“闽政通•</w:t>
      </w:r>
      <w:r>
        <w:rPr>
          <w:rFonts w:hint="eastAsia" w:ascii="仿宋_GB2312" w:hAnsi="仿宋_GB2312" w:eastAsia="仿宋_GB2312" w:cs="仿宋_GB2312"/>
          <w:u w:val="none"/>
          <w:lang w:eastAsia="zh-CN"/>
        </w:rPr>
        <w:t>惠办事</w:t>
      </w:r>
      <w:r>
        <w:rPr>
          <w:rFonts w:hint="eastAsia" w:ascii="仿宋_GB2312" w:hAnsi="仿宋_GB2312" w:eastAsia="仿宋_GB2312" w:cs="仿宋_GB2312"/>
          <w:u w:val="none"/>
        </w:rPr>
        <w:t>”等平台，做好线上便民办事服务。按照“一室多用”原则，</w:t>
      </w:r>
      <w:r>
        <w:rPr>
          <w:rFonts w:hint="eastAsia" w:ascii="Times New Roman" w:hAnsi="Times New Roman" w:eastAsia="仿宋_GB2312" w:cs="Times New Roman"/>
          <w:color w:val="auto"/>
          <w:sz w:val="32"/>
          <w:szCs w:val="32"/>
          <w:u w:val="none"/>
        </w:rPr>
        <w:t>设立</w:t>
      </w:r>
      <w:r>
        <w:rPr>
          <w:rFonts w:hint="eastAsia" w:ascii="Times New Roman" w:hAnsi="Times New Roman" w:eastAsia="仿宋_GB2312" w:cs="Times New Roman"/>
          <w:color w:val="auto"/>
          <w:sz w:val="32"/>
          <w:szCs w:val="32"/>
          <w:u w:val="none"/>
          <w:lang w:eastAsia="zh-CN"/>
        </w:rPr>
        <w:t>“惠女调解室”和</w:t>
      </w:r>
      <w:r>
        <w:rPr>
          <w:rFonts w:hint="eastAsia" w:ascii="仿宋_GB2312" w:hAnsi="仿宋_GB2312" w:eastAsia="仿宋_GB2312" w:cs="仿宋_GB2312"/>
          <w:u w:val="none"/>
        </w:rPr>
        <w:t>“两代表一委员”、纪检监察、检察官、法官、老党员、律师、调解员等多功能工作室，推行部门轮值使用制度，开展联系群众、政策宣讲、议事协商、法律咨询、社会监督、矛盾化解、心理疏导等服务，并根据不同村（社区）群众需求，提供就业创业、企业营商等咨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3.强化养老服务功能。</w:t>
      </w:r>
      <w:r>
        <w:rPr>
          <w:rFonts w:hint="eastAsia" w:ascii="仿宋_GB2312" w:hAnsi="仿宋_GB2312" w:eastAsia="仿宋_GB2312" w:cs="仿宋_GB2312"/>
          <w:u w:val="none"/>
        </w:rPr>
        <w:t>采取政府购买、专门机构承接等形式，引进优质市场主体建设和运营管理养老服务设施，提供日间照料、助餐配餐、上门服务、康复护理、精神慰藉等基本养老服务，有条件的可增加全托、日托、家庭养老照料床位等，构建精细多元的养老服务体系。结合老年群体需求，配备医养结合、文化娱乐、健康理疗等优质服务，定期开设南音、舞蹈、书法、摄影等特色课程，打造高质量的养老服务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4.强化托幼服务功能。</w:t>
      </w:r>
      <w:r>
        <w:rPr>
          <w:rFonts w:hint="eastAsia" w:ascii="仿宋_GB2312" w:hAnsi="仿宋_GB2312" w:eastAsia="仿宋_GB2312" w:cs="仿宋_GB2312"/>
          <w:u w:val="none"/>
        </w:rPr>
        <w:t>整合辖区教育资源，采取与驻区单位企业联办、引入优质市场主体等多元化运作方式，提供以学前幼儿为主体的普惠性托幼服务。有条件的可增加开设婴幼儿托管中心，提供婴幼儿照料、早教等服务。设置多功能儿童活动空间，引入群众认可的素质教育培训资源，定期开办科学育儿课程讲座，举办形式多样的少儿文体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5.强化医疗服务功能。</w:t>
      </w:r>
      <w:r>
        <w:rPr>
          <w:rFonts w:hint="eastAsia" w:ascii="仿宋_GB2312" w:hAnsi="仿宋_GB2312" w:eastAsia="仿宋_GB2312" w:cs="仿宋_GB2312"/>
          <w:u w:val="none"/>
        </w:rPr>
        <w:t>统筹各级医疗资源，建强村（社区）卫生服务站，推动公立医院全科医生、优质医疗资源、医保服务进邻里中心。有条件的可建立名师挂钩联系、定期坐诊制度，探索引入健康管理师，设置“健康小屋”等自助健康检测设备，提供健康自查、线上问诊、智能导诊等优质服务，定期开展日常护理、妇幼保健、营养膳食、心理健康、中医养生、疫情防控等培训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6.强化生活服务功能。</w:t>
      </w:r>
      <w:r>
        <w:rPr>
          <w:rFonts w:hint="eastAsia" w:ascii="仿宋_GB2312" w:hAnsi="仿宋_GB2312" w:eastAsia="仿宋_GB2312" w:cs="仿宋_GB2312"/>
          <w:u w:val="none"/>
        </w:rPr>
        <w:t>根据村（社区）群众需要，采取邻里中心自办、附近餐饮企业联办等方式开办邻里食堂或共享厨房，提供优质餐饮服务，对“一老一小”、帮扶对象等特定群体给予餐费补助。有条件的可采取市场化经营方式引入净菜门店、便利店或生鲜超市，提供平价净菜、特色农产品展销等服务。探索设立便民驿站，支持物流配送、快递、再生资源回收等相关企业在邻里中心设置服务点，鼓励发展维修、家政、餐饮、零售、美容美发、物品租借等生活性服务业，积极为有需要的群众提供休息场所、饮用水、加热食物等服务，为优抚对象提供政策咨询、帮扶支持等，满足居民多样化需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7.强化文体服务功能。</w:t>
      </w:r>
      <w:r>
        <w:rPr>
          <w:rFonts w:hint="eastAsia" w:ascii="仿宋_GB2312" w:hAnsi="仿宋_GB2312" w:eastAsia="仿宋_GB2312" w:cs="仿宋_GB2312"/>
          <w:u w:val="none"/>
        </w:rPr>
        <w:t>科学设置区域，根据群众需求，选择性提供书报阅读、影视观赏、戏曲表演、普法教育、艺术普及、科学普及和群众文化体育活动，并引进邻里咖啡、水吧、茶室等服务项目，利用室外闲置用地建设“口袋”公园、休闲场地，打造村（社区）“会客厅”。探索设立共享办公空间、会议空间、活动空间等，为辖区居民群众、社会组织、单位企业提供各类自助办公、会议沙龙、竞赛活动等场所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lang w:val="en-US" w:eastAsia="zh-CN"/>
        </w:rPr>
      </w:pPr>
      <w:r>
        <w:rPr>
          <w:rFonts w:hint="eastAsia" w:ascii="楷体_GB2312" w:hAnsi="楷体_GB2312" w:eastAsia="楷体_GB2312" w:cs="楷体_GB2312"/>
          <w:b w:val="0"/>
          <w:bCs w:val="0"/>
          <w:u w:val="none"/>
          <w:lang w:val="en-US" w:eastAsia="zh-CN"/>
        </w:rPr>
        <w:t>8.强化特色服务功能。</w:t>
      </w:r>
      <w:r>
        <w:rPr>
          <w:rFonts w:hint="eastAsia" w:ascii="仿宋_GB2312" w:hAnsi="仿宋_GB2312" w:eastAsia="仿宋_GB2312" w:cs="仿宋_GB2312"/>
          <w:u w:val="none"/>
          <w:lang w:val="en-US" w:eastAsia="zh-CN"/>
        </w:rPr>
        <w:t>根据群众喜好和需求，成立南音、舞蹈、太极拳等邻里社团，定期举办各类形式多样的社团文体活动，让群众才有所施。依托“薯花文明小站”整合热心群众和各类志愿服务团队力量，建立志愿服务站，常态化开展志愿服务活动，探访帮扶困难群众，让群众困有所助。深化“党建+金融”双基联动，提供整村授信、“党员先锋贷”、人才贷款等授信产品支持，让党员群众信有所用。立足乡镇产业特色，开展农产品、海产品等生鲜配送，为群众提供便利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u w:val="none"/>
        </w:rPr>
      </w:pPr>
      <w:r>
        <w:rPr>
          <w:rFonts w:hint="eastAsia" w:ascii="黑体" w:hAnsi="黑体" w:eastAsia="黑体" w:cs="黑体"/>
          <w:u w:val="none"/>
        </w:rPr>
        <w:t>五、推进融合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1.</w:t>
      </w:r>
      <w:r>
        <w:rPr>
          <w:rFonts w:hint="eastAsia" w:ascii="楷体_GB2312" w:hAnsi="楷体_GB2312" w:eastAsia="楷体_GB2312" w:cs="楷体_GB2312"/>
          <w:b w:val="0"/>
          <w:bCs w:val="0"/>
          <w:u w:val="none"/>
          <w:lang w:eastAsia="zh-CN"/>
        </w:rPr>
        <w:t>整合物理空间</w:t>
      </w:r>
      <w:r>
        <w:rPr>
          <w:rFonts w:hint="eastAsia" w:ascii="楷体_GB2312" w:hAnsi="楷体_GB2312" w:eastAsia="楷体_GB2312" w:cs="楷体_GB2312"/>
          <w:b w:val="0"/>
          <w:bCs w:val="0"/>
          <w:u w:val="none"/>
        </w:rPr>
        <w:t>。</w:t>
      </w:r>
      <w:r>
        <w:rPr>
          <w:rFonts w:hint="eastAsia" w:ascii="仿宋_GB2312" w:hAnsi="仿宋_GB2312" w:eastAsia="仿宋_GB2312" w:cs="仿宋_GB2312"/>
          <w:u w:val="none"/>
        </w:rPr>
        <w:t>邻里中心一般依托现有党群服务中心，不搞重复建设，注意做好辖区公共服务设施的调研摸底和清产核资，通过“腾挪一点、整合一点、租赁一点、新建一点、购置一点”等方式，盘活各类服务阵地，统筹利用机关事业单位、国有企业单位闲置资产，并融合新时代文明实践站等场所。各级政府职能部门、工青妇等群团组织的服务事项统一纳入邻里中心，一般不再单独设立服务阵地。鼓励距离较近、辖区不大的社区，在乡镇统筹下建立联合邻里中心，联建的社区一般不超过4个，原则上每个中心覆盖3000户左右，新建的邻里中心面积按每百户至少30平方米要求建设。鼓励常住人口不多的村，在乡镇统筹下，在人口密集地建立联合邻里中心。着眼“一站式综合服务”，推动相同功能在同一空间统一实现、相近功能在复合型空间统筹实施，不同的功能保持功能布局的灵活性。除专门服务功能外，一般不设置单一功能空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lang w:eastAsia="zh-CN"/>
        </w:rPr>
        <w:t>2.联合工作力量。</w:t>
      </w:r>
      <w:r>
        <w:rPr>
          <w:rFonts w:hint="eastAsia" w:ascii="仿宋_GB2312" w:hAnsi="仿宋_GB2312" w:eastAsia="仿宋_GB2312" w:cs="仿宋_GB2312"/>
          <w:u w:val="none"/>
        </w:rPr>
        <w:t>坚持严控总量、科学调度、统筹用好每个邻里中心所覆盖的各个村（社区）、网格工作人员，打造“全岗通”的工作队伍。按照每万名城镇常住人口不少于18人的标准，配强村（社区）、网格工作力量，除村（社区）“两委”外，采取“县级聘、乡镇管、村（社区）用”的办法，面向社会定期招聘以高校毕业生、退役军人为主体的基层党群专职工作者。按照就近方便的原则，组织各级“两代表一委员”联合编组进驻邻里中心，帮助推动便民惠民政策精准落地见效。全面推动在职党员到社区、小区报到，推动快递员、外卖送餐员等新就业群体到邻里中心报到备案，鼓励离退休党员、民兵党员、退役军人党员和热心党员群众发挥自身特长，共同开展志愿服务群众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lang w:eastAsia="zh-CN"/>
        </w:rPr>
        <w:t>3.聚合服务资源。</w:t>
      </w:r>
      <w:r>
        <w:rPr>
          <w:rFonts w:hint="eastAsia" w:ascii="仿宋_GB2312" w:hAnsi="仿宋_GB2312" w:eastAsia="仿宋_GB2312" w:cs="仿宋_GB2312"/>
          <w:u w:val="none"/>
        </w:rPr>
        <w:t>把邻里中心作为各级职能部门投放基层公共服务资源的主渠道，并培育引进社会组织开展专业化服务。各镇既要聚焦提供6项优质共性服务功能，又要因地制宜，结合不同村（社区）情况和群众需求，按照“什么问题突出、什么功能急需就重点解决什么问题、设置什么功能”的原则，有针对性供给个性化服务项目。各相关职能部门要按照“权随责走、费随事转”要求，明确下沉服务资源和项目清单，健全融合运行机制，承担下沉业务培训工作。支持群团组织、企事业单位、社会组织发挥作用，把各类社会服务、市场服务下沉到乡镇、村（社区）聚集到邻里中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lang w:eastAsia="zh-CN"/>
        </w:rPr>
        <w:t>4.融合信息数据。</w:t>
      </w:r>
      <w:r>
        <w:rPr>
          <w:rFonts w:hint="eastAsia" w:ascii="仿宋_GB2312" w:hAnsi="仿宋_GB2312" w:eastAsia="仿宋_GB2312" w:cs="仿宋_GB2312"/>
          <w:u w:val="none"/>
        </w:rPr>
        <w:t>探索建立“智慧邻里”共享平台，加强各类信息系统的业务协同、数据联动，集成打造一体化信息系统，以数字化推动健康、养老、教育、就业等基本民生服务在邻里中心集聚，让数据多跑路、群众少跑腿，提升服务的可及度和便捷性。推进社会治理网格平台、雪亮工程、12345平台和数字城管等多网联动，打造综合指挥平台，实行治安维稳、便民服务、市场监管、卫生健康、应急管理等事项“一网兜底、一网通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u w:val="none"/>
        </w:rPr>
      </w:pPr>
      <w:r>
        <w:rPr>
          <w:rFonts w:hint="eastAsia" w:ascii="黑体" w:hAnsi="黑体" w:eastAsia="黑体" w:cs="黑体"/>
          <w:u w:val="none"/>
        </w:rPr>
        <w:t>六、优化运营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u w:val="none"/>
        </w:rPr>
      </w:pPr>
      <w:r>
        <w:rPr>
          <w:rFonts w:hint="eastAsia" w:ascii="楷体_GB2312" w:hAnsi="楷体_GB2312" w:eastAsia="楷体_GB2312" w:cs="楷体_GB2312"/>
          <w:b w:val="0"/>
          <w:bCs w:val="0"/>
          <w:u w:val="none"/>
          <w:lang w:eastAsia="zh-CN"/>
        </w:rPr>
        <w:t>1.明确运营主体。</w:t>
      </w:r>
      <w:r>
        <w:rPr>
          <w:rFonts w:hint="eastAsia" w:ascii="仿宋_GB2312" w:hAnsi="仿宋_GB2312" w:eastAsia="仿宋_GB2312" w:cs="仿宋_GB2312"/>
          <w:u w:val="none"/>
          <w:lang w:eastAsia="zh-CN"/>
        </w:rPr>
        <w:t>“</w:t>
      </w:r>
      <w:r>
        <w:rPr>
          <w:rFonts w:hint="eastAsia" w:ascii="仿宋_GB2312" w:hAnsi="仿宋_GB2312" w:eastAsia="仿宋_GB2312" w:cs="仿宋_GB2312"/>
          <w:u w:val="none"/>
        </w:rPr>
        <w:t>党建+”邻里中心建设和运营管理一般以乡镇、村（社区）党组织为主导，坚持公益性为主、可盈利循环。要充分考虑邻里中心运营可持续性，结合不同村（社区）发展现状和治理能力，合理确定能兼顾“公益+商业”的邻里中心运营主体，可采取村（社区）党组织自主运营，或以乡镇</w:t>
      </w:r>
      <w:r>
        <w:rPr>
          <w:rFonts w:hint="eastAsia" w:ascii="仿宋_GB2312" w:hAnsi="仿宋_GB2312" w:eastAsia="仿宋_GB2312" w:cs="仿宋_GB2312"/>
          <w:u w:val="none"/>
          <w:lang w:eastAsia="zh-CN"/>
        </w:rPr>
        <w:t>、园区</w:t>
      </w:r>
      <w:r>
        <w:rPr>
          <w:rFonts w:hint="eastAsia" w:ascii="仿宋_GB2312" w:hAnsi="仿宋_GB2312" w:eastAsia="仿宋_GB2312" w:cs="仿宋_GB2312"/>
          <w:u w:val="none"/>
        </w:rPr>
        <w:t>为单位成立专门运营公司，或委托优质国有企业统一运营等方式。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u w:val="none"/>
        </w:rPr>
      </w:pPr>
      <w:r>
        <w:rPr>
          <w:rFonts w:hint="eastAsia" w:ascii="楷体_GB2312" w:hAnsi="楷体_GB2312" w:eastAsia="楷体_GB2312" w:cs="楷体_GB2312"/>
          <w:b w:val="0"/>
          <w:bCs w:val="0"/>
          <w:u w:val="none"/>
        </w:rPr>
        <w:t>2.</w:t>
      </w:r>
      <w:r>
        <w:rPr>
          <w:rFonts w:hint="eastAsia" w:ascii="楷体_GB2312" w:hAnsi="楷体_GB2312" w:eastAsia="楷体_GB2312" w:cs="楷体_GB2312"/>
          <w:b w:val="0"/>
          <w:bCs w:val="0"/>
          <w:u w:val="none"/>
          <w:lang w:eastAsia="zh-CN"/>
        </w:rPr>
        <w:t>完善</w:t>
      </w:r>
      <w:r>
        <w:rPr>
          <w:rFonts w:hint="eastAsia" w:ascii="楷体_GB2312" w:hAnsi="楷体_GB2312" w:eastAsia="楷体_GB2312" w:cs="楷体_GB2312"/>
          <w:b w:val="0"/>
          <w:bCs w:val="0"/>
          <w:u w:val="none"/>
        </w:rPr>
        <w:t>运营机制。</w:t>
      </w:r>
      <w:r>
        <w:rPr>
          <w:rFonts w:hint="eastAsia" w:ascii="仿宋_GB2312" w:hAnsi="仿宋_GB2312" w:eastAsia="仿宋_GB2312" w:cs="仿宋_GB2312"/>
          <w:u w:val="none"/>
        </w:rPr>
        <w:t>县镇层面要统筹建立第三方运营机构“白名单”，按照市场化、半市场化、公益性等分类引进服务业态，实行动态调整，及时吸纳服务优质的第三方运营机构、清退服务低质的第三方运营机构。推行“群众点单--中心派单--部门或运营商或党员群众接单--群众评单”机制，建立“常态化项目+特色化项目”服务清单，定期滚动更新，以菜单式服务精准对接群众需求。在有条件的邻里中心，设立邻里活动策划团队，经常性组织党员群众参与邻里志愿服务，造浓互帮互助、共建共享氛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u w:val="none"/>
        </w:rPr>
      </w:pPr>
      <w:r>
        <w:rPr>
          <w:rFonts w:hint="eastAsia" w:ascii="楷体_GB2312" w:hAnsi="楷体_GB2312" w:eastAsia="楷体_GB2312" w:cs="楷体_GB2312"/>
          <w:b w:val="0"/>
          <w:bCs w:val="0"/>
          <w:u w:val="none"/>
        </w:rPr>
        <w:t>3.</w:t>
      </w:r>
      <w:r>
        <w:rPr>
          <w:rFonts w:hint="eastAsia" w:ascii="楷体_GB2312" w:hAnsi="楷体_GB2312" w:eastAsia="楷体_GB2312" w:cs="楷体_GB2312"/>
          <w:b w:val="0"/>
          <w:bCs w:val="0"/>
          <w:u w:val="none"/>
          <w:lang w:eastAsia="zh-CN"/>
        </w:rPr>
        <w:t>落实</w:t>
      </w:r>
      <w:r>
        <w:rPr>
          <w:rFonts w:hint="eastAsia" w:ascii="楷体_GB2312" w:hAnsi="楷体_GB2312" w:eastAsia="楷体_GB2312" w:cs="楷体_GB2312"/>
          <w:b w:val="0"/>
          <w:bCs w:val="0"/>
          <w:u w:val="none"/>
        </w:rPr>
        <w:t>运营保障。</w:t>
      </w:r>
      <w:r>
        <w:rPr>
          <w:rFonts w:hint="eastAsia" w:ascii="仿宋_GB2312" w:hAnsi="仿宋_GB2312" w:eastAsia="仿宋_GB2312" w:cs="仿宋_GB2312"/>
          <w:u w:val="none"/>
        </w:rPr>
        <w:t>邻里中心建设要纳入各级党委、政府为民办实事项目，建设和运行资金列入各级财政预算，县级代管党费将予以适当补助。鼓励通过慈善捐赠等方式，引导社会资金投向邻里中心建设。要系统梳理邻里中心各项公益服务项目和商业服务项目，加强运营资金测算，科学确定惠民收费模式和各方收益分成办法，确保居民群众得实惠、中心运营可持续。探索延长邻里中心开放时间、扩展24小时服务区域以及开展晚间文娱活动等方式，有效满足居民服务需求。</w:t>
      </w:r>
      <w:bookmarkStart w:id="0" w:name="_GoBack"/>
      <w:bookmarkEnd w:id="0"/>
    </w:p>
    <w:sectPr>
      <w:footerReference r:id="rId3" w:type="default"/>
      <w:pgSz w:w="11906" w:h="16838"/>
      <w:pgMar w:top="1928" w:right="1701" w:bottom="1814" w:left="1701"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eastAsia="宋体" w:cs="Times New Roman"/>
                              <w:sz w:val="28"/>
                              <w:szCs w:val="28"/>
                              <w:lang w:eastAsia="zh-CN"/>
                            </w:rPr>
                          </w:pPr>
                          <w:r>
                            <w:rPr>
                              <w:rFonts w:hint="default" w:ascii="Times New Roman" w:hAnsi="Times New Roman" w:eastAsia="宋体" w:cs="Times New Roman"/>
                              <w:color w:val="FFFFFF" w:themeColor="background1"/>
                              <w:sz w:val="28"/>
                              <w:szCs w:val="28"/>
                              <w:lang w:eastAsia="zh-CN"/>
                              <w14:textFill>
                                <w14:solidFill>
                                  <w14:schemeClr w14:val="bg1"/>
                                </w14:solidFill>
                              </w14:textFill>
                            </w:rPr>
                            <w:t>口</w:t>
                          </w:r>
                          <w:r>
                            <w:rPr>
                              <w:rFonts w:hint="eastAsia" w:ascii="宋体" w:hAnsi="宋体" w:eastAsia="宋体" w:cs="宋体"/>
                              <w:sz w:val="28"/>
                              <w:szCs w:val="28"/>
                              <w:lang w:val="en-US" w:eastAsia="zh-CN"/>
                            </w:rPr>
                            <w:t xml:space="preserve">－ </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  \* MERGEFORMAT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lang w:val="en-US" w:eastAsia="zh-CN"/>
                            </w:rPr>
                            <w:t xml:space="preserve"> </w:t>
                          </w:r>
                          <w:r>
                            <w:rPr>
                              <w:rFonts w:hint="eastAsia" w:ascii="宋体" w:hAnsi="宋体" w:eastAsia="宋体" w:cs="宋体"/>
                              <w:sz w:val="28"/>
                              <w:szCs w:val="28"/>
                              <w:lang w:val="en-US" w:eastAsia="zh-CN"/>
                            </w:rPr>
                            <w:t>－</w:t>
                          </w:r>
                          <w:r>
                            <w:rPr>
                              <w:rFonts w:hint="default" w:ascii="Times New Roman" w:hAnsi="Times New Roman" w:eastAsia="宋体" w:cs="Times New Roman"/>
                              <w:color w:val="FFFFFF" w:themeColor="background1"/>
                              <w:sz w:val="28"/>
                              <w:szCs w:val="28"/>
                              <w:lang w:eastAsia="zh-CN"/>
                              <w14:textFill>
                                <w14:solidFill>
                                  <w14:schemeClr w14:val="bg1"/>
                                </w14:solidFill>
                              </w14:textFill>
                            </w:rPr>
                            <w:t>口</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eastAsia="宋体" w:cs="Times New Roman"/>
                        <w:color w:val="FFFFFF" w:themeColor="background1"/>
                        <w:sz w:val="28"/>
                        <w:szCs w:val="28"/>
                        <w:lang w:eastAsia="zh-CN"/>
                        <w14:textFill>
                          <w14:solidFill>
                            <w14:schemeClr w14:val="bg1"/>
                          </w14:solidFill>
                        </w14:textFill>
                      </w:rPr>
                      <w:t>口</w:t>
                    </w:r>
                    <w:r>
                      <w:rPr>
                        <w:rFonts w:hint="eastAsia" w:ascii="宋体" w:hAnsi="宋体" w:eastAsia="宋体" w:cs="宋体"/>
                        <w:sz w:val="28"/>
                        <w:szCs w:val="28"/>
                        <w:lang w:val="en-US" w:eastAsia="zh-CN"/>
                      </w:rPr>
                      <w:t xml:space="preserve">－ </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  \* MERGEFORMAT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lang w:val="en-US" w:eastAsia="zh-CN"/>
                      </w:rPr>
                      <w:t xml:space="preserve"> </w:t>
                    </w:r>
                    <w:r>
                      <w:rPr>
                        <w:rFonts w:hint="eastAsia" w:ascii="宋体" w:hAnsi="宋体" w:eastAsia="宋体" w:cs="宋体"/>
                        <w:sz w:val="28"/>
                        <w:szCs w:val="28"/>
                        <w:lang w:val="en-US" w:eastAsia="zh-CN"/>
                      </w:rPr>
                      <w:t>－</w:t>
                    </w:r>
                    <w:r>
                      <w:rPr>
                        <w:rFonts w:hint="default" w:ascii="Times New Roman" w:hAnsi="Times New Roman" w:eastAsia="宋体" w:cs="Times New Roman"/>
                        <w:color w:val="FFFFFF" w:themeColor="background1"/>
                        <w:sz w:val="28"/>
                        <w:szCs w:val="28"/>
                        <w:lang w:eastAsia="zh-CN"/>
                        <w14:textFill>
                          <w14:solidFill>
                            <w14:schemeClr w14:val="bg1"/>
                          </w14:solidFill>
                        </w14:textFill>
                      </w:rPr>
                      <w:t>口</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YzY2MzI1MjYyMmNjN2RlYWIwMTY0NGI3NDMyZDMifQ=="/>
  </w:docVars>
  <w:rsids>
    <w:rsidRoot w:val="3B8C73D8"/>
    <w:rsid w:val="01407B30"/>
    <w:rsid w:val="020C3109"/>
    <w:rsid w:val="04640C8A"/>
    <w:rsid w:val="04964ACA"/>
    <w:rsid w:val="06041B5C"/>
    <w:rsid w:val="06AC6573"/>
    <w:rsid w:val="07B94814"/>
    <w:rsid w:val="07CF7C1E"/>
    <w:rsid w:val="097924AD"/>
    <w:rsid w:val="0A470766"/>
    <w:rsid w:val="0AD54723"/>
    <w:rsid w:val="0BFD0BCE"/>
    <w:rsid w:val="0C9276B6"/>
    <w:rsid w:val="0CF85DDF"/>
    <w:rsid w:val="0D045FC7"/>
    <w:rsid w:val="0DDE3E11"/>
    <w:rsid w:val="0E4C6A7B"/>
    <w:rsid w:val="0E9F767F"/>
    <w:rsid w:val="0F033275"/>
    <w:rsid w:val="106B6610"/>
    <w:rsid w:val="13167149"/>
    <w:rsid w:val="136A011E"/>
    <w:rsid w:val="14BA46DA"/>
    <w:rsid w:val="14F27350"/>
    <w:rsid w:val="16396DC4"/>
    <w:rsid w:val="18231C2F"/>
    <w:rsid w:val="182F2E32"/>
    <w:rsid w:val="184A2279"/>
    <w:rsid w:val="1E0C70AD"/>
    <w:rsid w:val="1EF308E6"/>
    <w:rsid w:val="22B365D8"/>
    <w:rsid w:val="24127DC3"/>
    <w:rsid w:val="261C7F3B"/>
    <w:rsid w:val="26664C64"/>
    <w:rsid w:val="271F72EE"/>
    <w:rsid w:val="283F2539"/>
    <w:rsid w:val="298E0281"/>
    <w:rsid w:val="30130B35"/>
    <w:rsid w:val="30DC0692"/>
    <w:rsid w:val="31DB0449"/>
    <w:rsid w:val="326849C3"/>
    <w:rsid w:val="34D87C66"/>
    <w:rsid w:val="37130B85"/>
    <w:rsid w:val="3A6C22AC"/>
    <w:rsid w:val="3B8C73D8"/>
    <w:rsid w:val="3C67688A"/>
    <w:rsid w:val="3D434116"/>
    <w:rsid w:val="3EC62D97"/>
    <w:rsid w:val="41CB6AEE"/>
    <w:rsid w:val="42B954E2"/>
    <w:rsid w:val="434A719F"/>
    <w:rsid w:val="442B1D7E"/>
    <w:rsid w:val="450A2851"/>
    <w:rsid w:val="46044011"/>
    <w:rsid w:val="4619342A"/>
    <w:rsid w:val="47C41BAD"/>
    <w:rsid w:val="4DB53B96"/>
    <w:rsid w:val="51947921"/>
    <w:rsid w:val="52093A92"/>
    <w:rsid w:val="53700FD6"/>
    <w:rsid w:val="56AB2965"/>
    <w:rsid w:val="57DE1756"/>
    <w:rsid w:val="57FB3107"/>
    <w:rsid w:val="58F568B6"/>
    <w:rsid w:val="5A0A6625"/>
    <w:rsid w:val="5A4A08C9"/>
    <w:rsid w:val="5A7C227E"/>
    <w:rsid w:val="5D11701A"/>
    <w:rsid w:val="612965E8"/>
    <w:rsid w:val="63091321"/>
    <w:rsid w:val="640D786C"/>
    <w:rsid w:val="64A50EE5"/>
    <w:rsid w:val="65173E41"/>
    <w:rsid w:val="662571DB"/>
    <w:rsid w:val="67A81F44"/>
    <w:rsid w:val="67AD037A"/>
    <w:rsid w:val="689E2B7A"/>
    <w:rsid w:val="6B184A21"/>
    <w:rsid w:val="6BE741CA"/>
    <w:rsid w:val="6D94235A"/>
    <w:rsid w:val="6E7F06E9"/>
    <w:rsid w:val="74400434"/>
    <w:rsid w:val="77342B51"/>
    <w:rsid w:val="77A27A20"/>
    <w:rsid w:val="7AD60591"/>
    <w:rsid w:val="7C477430"/>
    <w:rsid w:val="FFE567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_GB2312" w:asciiTheme="minorHAnsi" w:hAnsiTheme="minorHAnsi" w:eastAsiaTheme="minorEastAsia"/>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仿宋_GB2312" w:eastAsia="仿宋_GB2312"/>
      <w:sz w:val="32"/>
      <w:szCs w:val="32"/>
    </w:r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0"/>
    <w:basedOn w:val="1"/>
    <w:qFormat/>
    <w:uiPriority w:val="0"/>
    <w:pPr>
      <w:widowControl/>
      <w:spacing w:line="578" w:lineRule="atLeast"/>
      <w:textAlignment w:val="baseline"/>
    </w:pPr>
    <w:rPr>
      <w:color w:val="000000"/>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11314</Words>
  <Characters>11446</Characters>
  <Lines>0</Lines>
  <Paragraphs>0</Paragraphs>
  <TotalTime>45</TotalTime>
  <ScaleCrop>false</ScaleCrop>
  <LinksUpToDate>false</LinksUpToDate>
  <CharactersWithSpaces>11696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2022-05-30T09:47:00Z</dcterms:created>
  <dc:creator>Administrator</dc:creator>
  <cp:lastModifiedBy>51512</cp:lastModifiedBy>
  <cp:lastPrinted>2022-07-05T08:06:00Z</cp:lastPrinted>
  <dcterms:modified xsi:type="dcterms:W3CDTF">2022-12-09T01:02:55Z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FB1755A5D631442194AA9C33D756C2B4</vt:lpwstr>
  </property>
</Properties>
</file>