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长美乡</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2024</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年公开招聘长美乡总工会编外社会化工会工作者的公告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为适应新时期工会工作的需要，建设一支高素质的聘用社会化工会工作者队伍，进一步充实基层工会工作力量，长美乡总工会决定面向社会公开招聘工会编外社会化工会工作者。现将有关招聘事项公告如下: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b w:val="0"/>
          <w:bCs w:val="0"/>
          <w:color w:val="000000" w:themeColor="text1"/>
          <w:sz w:val="32"/>
          <w:szCs w:val="32"/>
          <w:lang w:val="en-US" w:eastAsia="zh-CN"/>
          <w14:textFill>
            <w14:solidFill>
              <w14:schemeClr w14:val="tx1"/>
            </w14:solidFill>
          </w14:textFill>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主要负责管理乡总工会的日常业务工作，完成自治县总工会交办的相关任务。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二、招聘范围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户籍地或常住地为环江县范围内。</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三、招聘人数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四、招聘条件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应聘人员应具备以下条件：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具有中华人民共和国国籍，有良好的政治思想素质，拥护党的路线、方针、政策</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，热爱工会工作。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遵纪守法，无违纪违法行为</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，品行端正，能吃苦耐劳，乐于奉献，有较高的敬业精神，服从工作安排。</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3.</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具有国家承认的大学专科及以上学历，熟练操作计算机系统，熟悉Word、Excel等办公软件，具有一定的组织协调能力和语言表达能力</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4.性别不限，</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年龄要求在18周岁以上，</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40</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周岁以下</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（1984年5月10日至2006年5月10日期间出生）</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，身体健康</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5.同等条件下，优先考虑聘用具有党群工作经历，熟悉工会工作的人员。</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具有下列情形之一的人员，不得报名：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曾因犯罪受过刑事处罚的人员和曾被开除公职的人员</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在各级公务员招考、事业单位公开招聘中被认定有舞弊等严重违反录（聘）用纪律行为的。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3</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.被依法列为失信联合惩戒对象的。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公务员、参照公务员法管理的机关单位工作人员、事业单位工作人员被辞退或被辞聘未满5年的。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现役军人</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6.</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法律规定不得录（聘）用的其他情形。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五、招聘程序</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报名与资格审查</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报名时间：</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即日起至202</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20</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日8:00—12:00，15:00—18:00（双休日除外）。</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报名地点：</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人民政府</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党政办公室</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长美乡拉门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街</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76</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号），联系电话：</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0778-8950006</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3.</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报名方式：</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采取现场报名</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或线上报名的方式。</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现场报名：</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携带已填写</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的</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环江毛南族自治县长美乡总工会公开招聘编外社会化工会工作者报名表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》纸质版，持本人有效身份证、毕业证</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（学位证）</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、户口簿等相关资料原件</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（审核后退还本人）</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、复印件和近期小2寸免冠彩照</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张</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进行</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现场</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报名审核</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，复印件</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不再退回</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，应聘者的个人信息保密。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线上报名：</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将</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填写</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好的</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环江毛南族自治县长美乡总工会公开招聘编外社会化工会工作者报名表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电子版、</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本人有效身份证、毕业证</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（学位证）</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、户口簿</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等材料的扫描件和</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近期小2寸免冠彩照</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张</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一并打包发送至长美乡人民政府邮箱：89500066@163.com。</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资格审查：</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按照招聘条件对报名人员进行资格审查，经资格审查合格后，将资格</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查结果告知应聘者。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应聘者应对报名材料的真实性负责，凡弄虚作假，经查实的，取消报名及聘用资格，所造成的一切损失由应聘者本人承担。</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面试</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和组织考察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资格审查合格的</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者，进入面试环节</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职位符合资格条件人数达到1:3以上，方进行公开招聘。达不到1:3比例的由自治县总工会招聘领导小组研究决定是否进行公开招聘。乡总工会办公室按照岗位需求，对报名入围人选进行综合评审，并对人选进行排序，按1:3的比例确定面谈入围人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面试结束后，</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乡镇总工会根据面谈结果确定考察对象</w:t>
      </w: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，并</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对考察对象德、能</w:t>
      </w: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勤、绩、廉等进行全面考察。形成考察材料报自治县总工会确认。</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集体决定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 xml:space="preserve">    </w:t>
      </w: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自治县总工会召开党组会议和主席办公会议集体讨论研究，决定拟聘用人选</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（四）体检</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通知拟聘用人员进行体检，体检</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标准</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按照</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《公务员录用体检通用标准（试行）》执行。因体检不合格或其他情形出现职位空缺的，从</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该职位</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应聘者当</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中，按照面试成绩，从高分到低分依次等额递补进行体检。体检费用由</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应聘者</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本人承担。</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（五）聘用管理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按照</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《中华人民共和国劳动合同法》的规定，聘用人员试用期2个月。</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聘用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人员在试用期内能胜任工作的，试用期结束后</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总工会与</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聘用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人员签订《环江毛南族自治县</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总工会合同制职员岗位合同书》，首次聘用期为1年</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后续聘用按《中华人民共和国劳动合同法》有关</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规定办理。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六、福利待遇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聘</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用人员工资待遇按《环江毛南族自治县人民政府关于调整机关事业单位政府购买服务人员工资待遇的通知》（环政发〔2021〕38号）文件规定的待遇执行。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七、本公告由环江毛南族自治县长美乡总工会负责解释。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1598" w:leftChars="304" w:hanging="960" w:hangingChars="3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附件：环江毛南族自治县长美乡总工会公开招聘编外社会化工会工作者报名表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3200" w:firstLineChars="10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环江毛南族自治县</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长美乡总工会</w:t>
      </w:r>
    </w:p>
    <w:p>
      <w:pPr>
        <w:keepNext w:val="0"/>
        <w:keepLines w:val="0"/>
        <w:pageBreakBefore w:val="0"/>
        <w:kinsoku/>
        <w:wordWrap/>
        <w:overflowPunct/>
        <w:topLinePunct w:val="0"/>
        <w:autoSpaceDE/>
        <w:autoSpaceDN/>
        <w:bidi w:val="0"/>
        <w:spacing w:line="560" w:lineRule="exact"/>
        <w:ind w:left="1596" w:leftChars="760" w:firstLine="1600" w:firstLineChars="5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202</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11日</w:t>
      </w:r>
    </w:p>
    <w:p/>
    <w:p/>
    <w:p/>
    <w:p>
      <w:pPr>
        <w:keepNext w:val="0"/>
        <w:keepLines w:val="0"/>
        <w:pageBreakBefore w:val="0"/>
        <w:kinsoku/>
        <w:wordWrap/>
        <w:overflowPunct/>
        <w:topLinePunct w:val="0"/>
        <w:autoSpaceDE/>
        <w:autoSpaceDN/>
        <w:bidi w:val="0"/>
        <w:spacing w:line="560" w:lineRule="exact"/>
        <w:textAlignment w:val="auto"/>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spacing w:line="560" w:lineRule="exact"/>
        <w:textAlignment w:val="auto"/>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附件</w:t>
      </w:r>
    </w:p>
    <w:p>
      <w:pPr>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环江毛南族自治县长美乡总工会</w:t>
      </w:r>
    </w:p>
    <w:p>
      <w:pPr>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公开招聘编外社会化工会工作者报名表</w:t>
      </w:r>
    </w:p>
    <w:p>
      <w:pPr>
        <w:bidi w:val="0"/>
        <w:jc w:val="right"/>
        <w:rPr>
          <w:rFonts w:hint="eastAsia" w:ascii="宋体" w:hAnsi="宋体" w:eastAsia="宋体" w:cs="宋体"/>
          <w:sz w:val="32"/>
          <w:szCs w:val="32"/>
          <w:lang w:val="en-US" w:eastAsia="zh-CN"/>
        </w:rPr>
      </w:pPr>
      <w:r>
        <w:rPr>
          <w:rFonts w:hint="eastAsia" w:ascii="黑体" w:hAnsi="黑体" w:eastAsia="黑体" w:cs="黑体"/>
          <w:sz w:val="44"/>
          <w:szCs w:val="44"/>
          <w:lang w:val="en-US" w:eastAsia="zh-CN"/>
        </w:rPr>
        <w:t xml:space="preserve">    </w:t>
      </w:r>
      <w:r>
        <w:rPr>
          <w:rFonts w:hint="eastAsia" w:ascii="宋体" w:hAnsi="宋体" w:eastAsia="宋体" w:cs="宋体"/>
          <w:sz w:val="32"/>
          <w:szCs w:val="32"/>
          <w:lang w:val="en-US" w:eastAsia="zh-CN"/>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996"/>
        <w:gridCol w:w="1108"/>
        <w:gridCol w:w="396"/>
        <w:gridCol w:w="948"/>
        <w:gridCol w:w="328"/>
        <w:gridCol w:w="875"/>
        <w:gridCol w:w="414"/>
        <w:gridCol w:w="78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996" w:type="dxa"/>
            <w:vAlign w:val="center"/>
          </w:tcPr>
          <w:p>
            <w:pPr>
              <w:jc w:val="center"/>
              <w:rPr>
                <w:rFonts w:hint="eastAsia" w:ascii="宋体" w:hAnsi="宋体" w:eastAsia="宋体" w:cs="宋体"/>
                <w:sz w:val="24"/>
                <w:szCs w:val="24"/>
                <w:vertAlign w:val="baseline"/>
                <w:lang w:val="en-US" w:eastAsia="zh-CN"/>
              </w:rPr>
            </w:pPr>
          </w:p>
        </w:tc>
        <w:tc>
          <w:tcPr>
            <w:tcW w:w="11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344" w:type="dxa"/>
            <w:gridSpan w:val="2"/>
            <w:vAlign w:val="center"/>
          </w:tcPr>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202" w:type="dxa"/>
            <w:gridSpan w:val="2"/>
            <w:vAlign w:val="center"/>
          </w:tcPr>
          <w:p>
            <w:pPr>
              <w:jc w:val="center"/>
              <w:rPr>
                <w:rFonts w:hint="eastAsia" w:ascii="宋体" w:hAnsi="宋体" w:eastAsia="宋体" w:cs="宋体"/>
                <w:sz w:val="24"/>
                <w:szCs w:val="24"/>
                <w:vertAlign w:val="baseline"/>
                <w:lang w:val="en-US" w:eastAsia="zh-CN"/>
              </w:rPr>
            </w:pPr>
          </w:p>
        </w:tc>
        <w:tc>
          <w:tcPr>
            <w:tcW w:w="1549" w:type="dxa"/>
            <w:vMerge w:val="restart"/>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996" w:type="dxa"/>
            <w:vAlign w:val="center"/>
          </w:tcPr>
          <w:p>
            <w:pPr>
              <w:jc w:val="center"/>
              <w:rPr>
                <w:rFonts w:hint="eastAsia" w:ascii="宋体" w:hAnsi="宋体" w:eastAsia="宋体" w:cs="宋体"/>
                <w:sz w:val="24"/>
                <w:szCs w:val="24"/>
                <w:vertAlign w:val="baseline"/>
                <w:lang w:val="en-US" w:eastAsia="zh-CN"/>
              </w:rPr>
            </w:pPr>
          </w:p>
        </w:tc>
        <w:tc>
          <w:tcPr>
            <w:tcW w:w="11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籍贯</w:t>
            </w:r>
          </w:p>
        </w:tc>
        <w:tc>
          <w:tcPr>
            <w:tcW w:w="1344" w:type="dxa"/>
            <w:gridSpan w:val="2"/>
            <w:vAlign w:val="center"/>
          </w:tcPr>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出生地</w:t>
            </w:r>
          </w:p>
        </w:tc>
        <w:tc>
          <w:tcPr>
            <w:tcW w:w="1202" w:type="dxa"/>
            <w:gridSpan w:val="2"/>
            <w:vAlign w:val="center"/>
          </w:tcPr>
          <w:p>
            <w:pPr>
              <w:jc w:val="center"/>
              <w:rPr>
                <w:rFonts w:hint="eastAsia" w:ascii="宋体" w:hAnsi="宋体" w:eastAsia="宋体" w:cs="宋体"/>
                <w:sz w:val="24"/>
                <w:szCs w:val="24"/>
                <w:vertAlign w:val="baseline"/>
                <w:lang w:val="en-US" w:eastAsia="zh-CN"/>
              </w:rPr>
            </w:pPr>
          </w:p>
        </w:tc>
        <w:tc>
          <w:tcPr>
            <w:tcW w:w="1549" w:type="dxa"/>
            <w:vMerge w:val="continue"/>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996" w:type="dxa"/>
            <w:vAlign w:val="center"/>
          </w:tcPr>
          <w:p>
            <w:pPr>
              <w:jc w:val="center"/>
              <w:rPr>
                <w:rFonts w:hint="eastAsia" w:ascii="宋体" w:hAnsi="宋体" w:eastAsia="宋体" w:cs="宋体"/>
                <w:sz w:val="24"/>
                <w:szCs w:val="24"/>
                <w:vertAlign w:val="baseline"/>
                <w:lang w:val="en-US" w:eastAsia="zh-CN"/>
              </w:rPr>
            </w:pPr>
          </w:p>
        </w:tc>
        <w:tc>
          <w:tcPr>
            <w:tcW w:w="11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参加工作时间</w:t>
            </w:r>
          </w:p>
        </w:tc>
        <w:tc>
          <w:tcPr>
            <w:tcW w:w="1344" w:type="dxa"/>
            <w:gridSpan w:val="2"/>
            <w:vAlign w:val="center"/>
          </w:tcPr>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健康状况</w:t>
            </w:r>
          </w:p>
        </w:tc>
        <w:tc>
          <w:tcPr>
            <w:tcW w:w="1202" w:type="dxa"/>
            <w:gridSpan w:val="2"/>
            <w:vAlign w:val="center"/>
          </w:tcPr>
          <w:p>
            <w:pPr>
              <w:jc w:val="center"/>
              <w:rPr>
                <w:rFonts w:hint="eastAsia" w:ascii="宋体" w:hAnsi="宋体" w:eastAsia="宋体" w:cs="宋体"/>
                <w:sz w:val="24"/>
                <w:szCs w:val="24"/>
                <w:vertAlign w:val="baseline"/>
                <w:lang w:val="en-US" w:eastAsia="zh-CN"/>
              </w:rPr>
            </w:pPr>
          </w:p>
        </w:tc>
        <w:tc>
          <w:tcPr>
            <w:tcW w:w="1549" w:type="dxa"/>
            <w:vMerge w:val="continue"/>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120"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学历学位</w:t>
            </w:r>
          </w:p>
        </w:tc>
        <w:tc>
          <w:tcPr>
            <w:tcW w:w="9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全日制教育</w:t>
            </w:r>
          </w:p>
        </w:tc>
        <w:tc>
          <w:tcPr>
            <w:tcW w:w="2452" w:type="dxa"/>
            <w:gridSpan w:val="3"/>
            <w:vAlign w:val="center"/>
          </w:tcPr>
          <w:p>
            <w:pPr>
              <w:jc w:val="center"/>
              <w:rPr>
                <w:rFonts w:hint="eastAsia" w:ascii="宋体" w:hAnsi="宋体" w:eastAsia="宋体" w:cs="宋体"/>
                <w:sz w:val="24"/>
                <w:szCs w:val="24"/>
                <w:vertAlign w:val="baseline"/>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毕业院校及专业</w:t>
            </w:r>
          </w:p>
        </w:tc>
        <w:tc>
          <w:tcPr>
            <w:tcW w:w="2751" w:type="dxa"/>
            <w:gridSpan w:val="3"/>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20" w:type="dxa"/>
            <w:vMerge w:val="continue"/>
            <w:vAlign w:val="center"/>
          </w:tcPr>
          <w:p>
            <w:pPr>
              <w:jc w:val="center"/>
              <w:rPr>
                <w:rFonts w:hint="eastAsia" w:ascii="宋体" w:hAnsi="宋体" w:eastAsia="宋体" w:cs="宋体"/>
                <w:sz w:val="24"/>
                <w:szCs w:val="24"/>
                <w:vertAlign w:val="baseline"/>
              </w:rPr>
            </w:pPr>
          </w:p>
        </w:tc>
        <w:tc>
          <w:tcPr>
            <w:tcW w:w="9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在职教育</w:t>
            </w:r>
          </w:p>
        </w:tc>
        <w:tc>
          <w:tcPr>
            <w:tcW w:w="2452" w:type="dxa"/>
            <w:gridSpan w:val="3"/>
            <w:vAlign w:val="center"/>
          </w:tcPr>
          <w:p>
            <w:pPr>
              <w:jc w:val="center"/>
              <w:rPr>
                <w:rFonts w:hint="eastAsia" w:ascii="宋体" w:hAnsi="宋体" w:eastAsia="宋体" w:cs="宋体"/>
                <w:sz w:val="24"/>
                <w:szCs w:val="24"/>
                <w:vertAlign w:val="baseline"/>
              </w:rPr>
            </w:pPr>
          </w:p>
        </w:tc>
        <w:tc>
          <w:tcPr>
            <w:tcW w:w="1203"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毕业院校及专业</w:t>
            </w:r>
          </w:p>
        </w:tc>
        <w:tc>
          <w:tcPr>
            <w:tcW w:w="2751" w:type="dxa"/>
            <w:gridSpan w:val="3"/>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6"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现在工作单位、职务</w:t>
            </w:r>
          </w:p>
        </w:tc>
        <w:tc>
          <w:tcPr>
            <w:tcW w:w="6406" w:type="dxa"/>
            <w:gridSpan w:val="8"/>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家庭住址</w:t>
            </w:r>
          </w:p>
        </w:tc>
        <w:tc>
          <w:tcPr>
            <w:tcW w:w="2452" w:type="dxa"/>
            <w:gridSpan w:val="3"/>
            <w:vAlign w:val="center"/>
          </w:tcPr>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751" w:type="dxa"/>
            <w:gridSpan w:val="3"/>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120" w:type="dxa"/>
            <w:textDirection w:val="tbLrV"/>
            <w:vAlign w:val="center"/>
          </w:tcPr>
          <w:p>
            <w:pPr>
              <w:bidi w:val="0"/>
              <w:ind w:left="113" w:right="1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   历</w:t>
            </w:r>
          </w:p>
        </w:tc>
        <w:tc>
          <w:tcPr>
            <w:tcW w:w="7402" w:type="dxa"/>
            <w:gridSpan w:val="9"/>
            <w:vAlign w:val="center"/>
          </w:tcPr>
          <w:p>
            <w:pPr>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120"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奖惩情况</w:t>
            </w:r>
          </w:p>
        </w:tc>
        <w:tc>
          <w:tcPr>
            <w:tcW w:w="7402" w:type="dxa"/>
            <w:gridSpan w:val="9"/>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0" w:type="dxa"/>
            <w:vMerge w:val="restart"/>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家庭主要成员及重要社会关系</w:t>
            </w:r>
          </w:p>
        </w:tc>
        <w:tc>
          <w:tcPr>
            <w:tcW w:w="9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称谓</w:t>
            </w:r>
          </w:p>
        </w:tc>
        <w:tc>
          <w:tcPr>
            <w:tcW w:w="150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7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年龄</w:t>
            </w:r>
          </w:p>
        </w:tc>
        <w:tc>
          <w:tcPr>
            <w:tcW w:w="128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2337"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20" w:type="dxa"/>
            <w:vMerge w:val="continue"/>
            <w:vAlign w:val="center"/>
          </w:tcPr>
          <w:p>
            <w:pPr>
              <w:jc w:val="center"/>
              <w:rPr>
                <w:rFonts w:hint="eastAsia" w:ascii="宋体" w:hAnsi="宋体" w:eastAsia="宋体" w:cs="宋体"/>
                <w:sz w:val="24"/>
                <w:szCs w:val="24"/>
              </w:rPr>
            </w:pPr>
          </w:p>
        </w:tc>
        <w:tc>
          <w:tcPr>
            <w:tcW w:w="996" w:type="dxa"/>
            <w:vAlign w:val="center"/>
          </w:tcPr>
          <w:p>
            <w:pPr>
              <w:jc w:val="center"/>
              <w:rPr>
                <w:rFonts w:hint="eastAsia" w:ascii="宋体" w:hAnsi="宋体" w:eastAsia="宋体" w:cs="宋体"/>
                <w:sz w:val="24"/>
                <w:szCs w:val="24"/>
                <w:lang w:val="en-US" w:eastAsia="zh-CN"/>
              </w:rPr>
            </w:pPr>
          </w:p>
        </w:tc>
        <w:tc>
          <w:tcPr>
            <w:tcW w:w="1504" w:type="dxa"/>
            <w:gridSpan w:val="2"/>
            <w:vAlign w:val="center"/>
          </w:tcPr>
          <w:p>
            <w:pPr>
              <w:jc w:val="center"/>
              <w:rPr>
                <w:rFonts w:hint="eastAsia" w:ascii="宋体" w:hAnsi="宋体" w:eastAsia="宋体" w:cs="宋体"/>
                <w:sz w:val="24"/>
                <w:szCs w:val="24"/>
                <w:lang w:val="en-US" w:eastAsia="zh-CN"/>
              </w:rPr>
            </w:pPr>
          </w:p>
        </w:tc>
        <w:tc>
          <w:tcPr>
            <w:tcW w:w="1276" w:type="dxa"/>
            <w:gridSpan w:val="2"/>
            <w:vAlign w:val="center"/>
          </w:tcPr>
          <w:p>
            <w:pPr>
              <w:jc w:val="center"/>
              <w:rPr>
                <w:rFonts w:hint="eastAsia" w:ascii="宋体" w:hAnsi="宋体" w:eastAsia="宋体" w:cs="宋体"/>
                <w:sz w:val="24"/>
                <w:szCs w:val="24"/>
                <w:lang w:val="en-US" w:eastAsia="zh-CN"/>
              </w:rPr>
            </w:pPr>
          </w:p>
        </w:tc>
        <w:tc>
          <w:tcPr>
            <w:tcW w:w="1289" w:type="dxa"/>
            <w:gridSpan w:val="2"/>
            <w:vAlign w:val="center"/>
          </w:tcPr>
          <w:p>
            <w:pPr>
              <w:jc w:val="center"/>
              <w:rPr>
                <w:rFonts w:hint="eastAsia" w:ascii="宋体" w:hAnsi="宋体" w:eastAsia="宋体" w:cs="宋体"/>
                <w:sz w:val="24"/>
                <w:szCs w:val="24"/>
                <w:lang w:val="en-US" w:eastAsia="zh-CN"/>
              </w:rPr>
            </w:pPr>
          </w:p>
        </w:tc>
        <w:tc>
          <w:tcPr>
            <w:tcW w:w="2337" w:type="dxa"/>
            <w:gridSpan w:val="2"/>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0" w:type="dxa"/>
            <w:vMerge w:val="continue"/>
            <w:vAlign w:val="center"/>
          </w:tcPr>
          <w:p>
            <w:pPr>
              <w:jc w:val="center"/>
              <w:rPr>
                <w:rFonts w:hint="eastAsia" w:ascii="宋体" w:hAnsi="宋体" w:eastAsia="宋体" w:cs="宋体"/>
                <w:sz w:val="24"/>
                <w:szCs w:val="24"/>
                <w:vertAlign w:val="baseline"/>
              </w:rPr>
            </w:pPr>
          </w:p>
        </w:tc>
        <w:tc>
          <w:tcPr>
            <w:tcW w:w="996" w:type="dxa"/>
            <w:vAlign w:val="center"/>
          </w:tcPr>
          <w:p>
            <w:pPr>
              <w:jc w:val="center"/>
              <w:rPr>
                <w:rFonts w:hint="eastAsia" w:ascii="宋体" w:hAnsi="宋体" w:eastAsia="宋体" w:cs="宋体"/>
                <w:sz w:val="24"/>
                <w:szCs w:val="24"/>
                <w:vertAlign w:val="baseline"/>
                <w:lang w:val="en-US" w:eastAsia="zh-CN"/>
              </w:rPr>
            </w:pPr>
          </w:p>
        </w:tc>
        <w:tc>
          <w:tcPr>
            <w:tcW w:w="1504" w:type="dxa"/>
            <w:gridSpan w:val="2"/>
            <w:vAlign w:val="center"/>
          </w:tcPr>
          <w:p>
            <w:pPr>
              <w:jc w:val="center"/>
              <w:rPr>
                <w:rFonts w:hint="eastAsia" w:ascii="宋体" w:hAnsi="宋体" w:eastAsia="宋体" w:cs="宋体"/>
                <w:sz w:val="24"/>
                <w:szCs w:val="24"/>
                <w:vertAlign w:val="baseline"/>
                <w:lang w:val="en-US" w:eastAsia="zh-CN"/>
              </w:rPr>
            </w:pPr>
          </w:p>
        </w:tc>
        <w:tc>
          <w:tcPr>
            <w:tcW w:w="1276" w:type="dxa"/>
            <w:gridSpan w:val="2"/>
            <w:vAlign w:val="center"/>
          </w:tcPr>
          <w:p>
            <w:pPr>
              <w:jc w:val="center"/>
              <w:rPr>
                <w:rFonts w:hint="eastAsia" w:ascii="宋体" w:hAnsi="宋体" w:eastAsia="宋体" w:cs="宋体"/>
                <w:sz w:val="24"/>
                <w:szCs w:val="24"/>
                <w:vertAlign w:val="baseline"/>
                <w:lang w:val="en-US" w:eastAsia="zh-CN"/>
              </w:rPr>
            </w:pPr>
          </w:p>
        </w:tc>
        <w:tc>
          <w:tcPr>
            <w:tcW w:w="1289" w:type="dxa"/>
            <w:gridSpan w:val="2"/>
            <w:vAlign w:val="center"/>
          </w:tcPr>
          <w:p>
            <w:pPr>
              <w:jc w:val="center"/>
              <w:rPr>
                <w:rFonts w:hint="eastAsia" w:ascii="宋体" w:hAnsi="宋体" w:eastAsia="宋体" w:cs="宋体"/>
                <w:sz w:val="24"/>
                <w:szCs w:val="24"/>
                <w:vertAlign w:val="baseline"/>
                <w:lang w:val="en-US" w:eastAsia="zh-CN"/>
              </w:rPr>
            </w:pPr>
          </w:p>
        </w:tc>
        <w:tc>
          <w:tcPr>
            <w:tcW w:w="23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vMerge w:val="continue"/>
            <w:vAlign w:val="center"/>
          </w:tcPr>
          <w:p>
            <w:pPr>
              <w:jc w:val="center"/>
              <w:rPr>
                <w:rFonts w:hint="eastAsia" w:ascii="宋体" w:hAnsi="宋体" w:eastAsia="宋体" w:cs="宋体"/>
                <w:sz w:val="24"/>
                <w:szCs w:val="24"/>
                <w:vertAlign w:val="baseline"/>
              </w:rPr>
            </w:pPr>
          </w:p>
        </w:tc>
        <w:tc>
          <w:tcPr>
            <w:tcW w:w="996" w:type="dxa"/>
            <w:vAlign w:val="center"/>
          </w:tcPr>
          <w:p>
            <w:pPr>
              <w:jc w:val="center"/>
              <w:rPr>
                <w:rFonts w:hint="eastAsia" w:ascii="宋体" w:hAnsi="宋体" w:eastAsia="宋体" w:cs="宋体"/>
                <w:sz w:val="24"/>
                <w:szCs w:val="24"/>
                <w:vertAlign w:val="baseline"/>
              </w:rPr>
            </w:pPr>
          </w:p>
        </w:tc>
        <w:tc>
          <w:tcPr>
            <w:tcW w:w="1504" w:type="dxa"/>
            <w:gridSpan w:val="2"/>
            <w:vAlign w:val="center"/>
          </w:tcPr>
          <w:p>
            <w:pPr>
              <w:jc w:val="center"/>
              <w:rPr>
                <w:rFonts w:hint="eastAsia" w:ascii="宋体" w:hAnsi="宋体" w:eastAsia="宋体" w:cs="宋体"/>
                <w:sz w:val="24"/>
                <w:szCs w:val="24"/>
                <w:vertAlign w:val="baseline"/>
              </w:rPr>
            </w:pPr>
          </w:p>
        </w:tc>
        <w:tc>
          <w:tcPr>
            <w:tcW w:w="1276" w:type="dxa"/>
            <w:gridSpan w:val="2"/>
            <w:vAlign w:val="center"/>
          </w:tcPr>
          <w:p>
            <w:pPr>
              <w:jc w:val="center"/>
              <w:rPr>
                <w:rFonts w:hint="eastAsia" w:ascii="宋体" w:hAnsi="宋体" w:eastAsia="宋体" w:cs="宋体"/>
                <w:sz w:val="24"/>
                <w:szCs w:val="24"/>
                <w:vertAlign w:val="baseline"/>
              </w:rPr>
            </w:pPr>
          </w:p>
        </w:tc>
        <w:tc>
          <w:tcPr>
            <w:tcW w:w="1289" w:type="dxa"/>
            <w:gridSpan w:val="2"/>
            <w:vAlign w:val="center"/>
          </w:tcPr>
          <w:p>
            <w:pPr>
              <w:jc w:val="center"/>
              <w:rPr>
                <w:rFonts w:hint="eastAsia" w:ascii="宋体" w:hAnsi="宋体" w:eastAsia="宋体" w:cs="宋体"/>
                <w:sz w:val="24"/>
                <w:szCs w:val="24"/>
                <w:vertAlign w:val="baseline"/>
              </w:rPr>
            </w:pPr>
          </w:p>
        </w:tc>
        <w:tc>
          <w:tcPr>
            <w:tcW w:w="23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22" w:type="dxa"/>
            <w:gridSpan w:val="10"/>
          </w:tcPr>
          <w:p>
            <w:pPr>
              <w:keepNext w:val="0"/>
              <w:keepLines w:val="0"/>
              <w:pageBreakBefore w:val="0"/>
              <w:widowControl w:val="0"/>
              <w:tabs>
                <w:tab w:val="left" w:pos="1333"/>
              </w:tabs>
              <w:kinsoku/>
              <w:wordWrap/>
              <w:overflowPunct/>
              <w:topLinePunct w:val="0"/>
              <w:autoSpaceDE/>
              <w:autoSpaceDN/>
              <w:bidi w:val="0"/>
              <w:adjustRightInd/>
              <w:snapToGrid/>
              <w:spacing w:line="580" w:lineRule="exact"/>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本人对以上内容的真实性、准确性及合法性负责，如有虚假，愿意承担责任。</w:t>
            </w:r>
          </w:p>
          <w:p>
            <w:pPr>
              <w:keepNext w:val="0"/>
              <w:keepLines w:val="0"/>
              <w:pageBreakBefore w:val="0"/>
              <w:widowControl w:val="0"/>
              <w:tabs>
                <w:tab w:val="left" w:pos="1333"/>
              </w:tabs>
              <w:kinsoku/>
              <w:wordWrap/>
              <w:overflowPunct/>
              <w:topLinePunct w:val="0"/>
              <w:autoSpaceDE/>
              <w:autoSpaceDN/>
              <w:bidi w:val="0"/>
              <w:adjustRightInd/>
              <w:snapToGrid/>
              <w:spacing w:line="580" w:lineRule="exact"/>
              <w:ind w:firstLine="480" w:firstLineChars="200"/>
              <w:jc w:val="left"/>
              <w:textAlignment w:val="auto"/>
              <w:rPr>
                <w:rFonts w:hint="default" w:cstheme="minorBidi"/>
                <w:kern w:val="2"/>
                <w:sz w:val="21"/>
                <w:szCs w:val="24"/>
                <w:lang w:val="en-US" w:eastAsia="zh-CN" w:bidi="ar-SA"/>
              </w:rPr>
            </w:pPr>
            <w:r>
              <w:rPr>
                <w:rFonts w:hint="eastAsia" w:cstheme="minorBidi"/>
                <w:kern w:val="2"/>
                <w:sz w:val="24"/>
                <w:szCs w:val="24"/>
                <w:lang w:val="en-US" w:eastAsia="zh-CN" w:bidi="ar-SA"/>
              </w:rPr>
              <w:t>本人签名：                年      月    日</w:t>
            </w:r>
          </w:p>
        </w:tc>
      </w:tr>
    </w:tbl>
    <w:p/>
    <w:p/>
    <w:p/>
    <w:p/>
    <w:p/>
    <w:p/>
    <w:p/>
    <w:p/>
    <w:p/>
    <w:p/>
    <w:p>
      <w:pPr>
        <w:widowControl w:val="0"/>
        <w:adjustRightInd/>
        <w:snapToGrid/>
        <w:spacing w:after="0" w:line="240" w:lineRule="auto"/>
        <w:jc w:val="both"/>
        <w:rPr>
          <w:rFonts w:hint="default" w:ascii="Times New Roman" w:hAnsi="Times New Roman" w:eastAsia="宋体" w:cs="Times New Roman"/>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D664AB-4DC6-45D5-9BD2-EF458C60B7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1253E1-CB00-46FF-8A7D-ECBDCB68837A}"/>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773B311F-DB95-40ED-9A51-9F2FC8488979}"/>
  </w:font>
  <w:font w:name="仿宋_GB2312">
    <w:panose1 w:val="02010609030101010101"/>
    <w:charset w:val="86"/>
    <w:family w:val="auto"/>
    <w:pitch w:val="default"/>
    <w:sig w:usb0="00000001" w:usb1="080E0000" w:usb2="00000000" w:usb3="00000000" w:csb0="00040000" w:csb1="00000000"/>
    <w:embedRegular r:id="rId4" w:fontKey="{FEF0D044-69AB-4580-8C3B-85CCD627DC6C}"/>
  </w:font>
  <w:font w:name="楷体_GB2312">
    <w:panose1 w:val="02010609030101010101"/>
    <w:charset w:val="86"/>
    <w:family w:val="modern"/>
    <w:pitch w:val="default"/>
    <w:sig w:usb0="00000001" w:usb1="080E0000" w:usb2="00000000" w:usb3="00000000" w:csb0="00040000" w:csb1="00000000"/>
    <w:embedRegular r:id="rId5" w:fontKey="{6CA586F3-9D2D-4F4F-80E0-6668AED9DF0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 MERGEFORMAT </w:instrText>
    </w:r>
    <w:r>
      <w:fldChar w:fldCharType="separate"/>
    </w:r>
    <w:r>
      <w:t>1</w:t>
    </w:r>
    <w:r>
      <w:fldChar w:fldCharType="end"/>
    </w:r>
    <w:r>
      <w:t xml:space="preserve"> —</w:t>
    </w: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23538"/>
    <w:multiLevelType w:val="singleLevel"/>
    <w:tmpl w:val="AEC235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N2JkNDYyYzY5MGMxMDkzNjdiZTQzOWRmNDhkN2IifQ=="/>
  </w:docVars>
  <w:rsids>
    <w:rsidRoot w:val="00000000"/>
    <w:rsid w:val="04F50FAA"/>
    <w:rsid w:val="055F2BCB"/>
    <w:rsid w:val="07BA13CC"/>
    <w:rsid w:val="07DE071F"/>
    <w:rsid w:val="0889068B"/>
    <w:rsid w:val="0B4C2736"/>
    <w:rsid w:val="0B9F6417"/>
    <w:rsid w:val="0BAA26F6"/>
    <w:rsid w:val="0CF84031"/>
    <w:rsid w:val="0D5154EF"/>
    <w:rsid w:val="0D745082"/>
    <w:rsid w:val="0E927B6D"/>
    <w:rsid w:val="109C2F25"/>
    <w:rsid w:val="1324792E"/>
    <w:rsid w:val="142932C1"/>
    <w:rsid w:val="191A4355"/>
    <w:rsid w:val="1A417C76"/>
    <w:rsid w:val="1A6D6D72"/>
    <w:rsid w:val="1A8D2E0E"/>
    <w:rsid w:val="21D06ED2"/>
    <w:rsid w:val="252C08C4"/>
    <w:rsid w:val="2640208A"/>
    <w:rsid w:val="26542FC2"/>
    <w:rsid w:val="27807D96"/>
    <w:rsid w:val="2ADD7419"/>
    <w:rsid w:val="2E323385"/>
    <w:rsid w:val="31D869AF"/>
    <w:rsid w:val="32C907DA"/>
    <w:rsid w:val="33E67D39"/>
    <w:rsid w:val="35FE5964"/>
    <w:rsid w:val="37707B99"/>
    <w:rsid w:val="37807A1C"/>
    <w:rsid w:val="382F44FB"/>
    <w:rsid w:val="3976628B"/>
    <w:rsid w:val="3A5C683A"/>
    <w:rsid w:val="3B7B35B3"/>
    <w:rsid w:val="3D3102FF"/>
    <w:rsid w:val="41F128DC"/>
    <w:rsid w:val="425A376D"/>
    <w:rsid w:val="44BD0978"/>
    <w:rsid w:val="44F7590A"/>
    <w:rsid w:val="4AEC0198"/>
    <w:rsid w:val="4EF70D4B"/>
    <w:rsid w:val="513E0A56"/>
    <w:rsid w:val="542863F9"/>
    <w:rsid w:val="55AC03E7"/>
    <w:rsid w:val="57D52571"/>
    <w:rsid w:val="58975A79"/>
    <w:rsid w:val="58B57CAD"/>
    <w:rsid w:val="5AC33708"/>
    <w:rsid w:val="5BA858A7"/>
    <w:rsid w:val="5C427AAA"/>
    <w:rsid w:val="5CD9503E"/>
    <w:rsid w:val="5D4C0F43"/>
    <w:rsid w:val="5F7206A6"/>
    <w:rsid w:val="5FA259E1"/>
    <w:rsid w:val="613100ED"/>
    <w:rsid w:val="62016663"/>
    <w:rsid w:val="62917095"/>
    <w:rsid w:val="63AB23D8"/>
    <w:rsid w:val="651144BD"/>
    <w:rsid w:val="65390AAF"/>
    <w:rsid w:val="65393821"/>
    <w:rsid w:val="65AB4911"/>
    <w:rsid w:val="66882EA5"/>
    <w:rsid w:val="69F0323B"/>
    <w:rsid w:val="6B080110"/>
    <w:rsid w:val="6E251EBD"/>
    <w:rsid w:val="6EAA4121"/>
    <w:rsid w:val="6EC24A7A"/>
    <w:rsid w:val="6FBE7937"/>
    <w:rsid w:val="719C15B2"/>
    <w:rsid w:val="71C50B09"/>
    <w:rsid w:val="77625FC5"/>
    <w:rsid w:val="78FE376F"/>
    <w:rsid w:val="79183C14"/>
    <w:rsid w:val="792366DE"/>
    <w:rsid w:val="7D382AD7"/>
    <w:rsid w:val="7D935F5F"/>
    <w:rsid w:val="7DA77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styleId="11">
    <w:name w:val="Hyperlink"/>
    <w:basedOn w:val="8"/>
    <w:autoRedefine/>
    <w:qFormat/>
    <w:uiPriority w:val="0"/>
    <w:rPr>
      <w:color w:val="0000FF"/>
      <w:u w:val="single"/>
    </w:rPr>
  </w:style>
  <w:style w:type="paragraph" w:customStyle="1" w:styleId="12">
    <w:name w:val="文本"/>
    <w:basedOn w:val="1"/>
    <w:autoRedefine/>
    <w:qFormat/>
    <w:uiPriority w:val="0"/>
    <w:pPr>
      <w:spacing w:line="360" w:lineRule="auto"/>
      <w:ind w:firstLine="420" w:firstLineChars="200"/>
    </w:pPr>
    <w:rPr>
      <w:rFonts w:ascii="Times New Roman" w:hAnsi="Times New Roman" w:eastAsia="华文仿宋"/>
      <w:sz w:val="24"/>
    </w:rPr>
  </w:style>
  <w:style w:type="character" w:customStyle="1" w:styleId="13">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1387</Words>
  <Characters>1488</Characters>
  <Lines>0</Lines>
  <Paragraphs>0</Paragraphs>
  <TotalTime>24</TotalTime>
  <ScaleCrop>false</ScaleCrop>
  <LinksUpToDate>false</LinksUpToDate>
  <CharactersWithSpaces>1520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林狒狒</cp:lastModifiedBy>
  <cp:lastPrinted>2023-08-31T07:53:00Z</cp:lastPrinted>
  <dcterms:modified xsi:type="dcterms:W3CDTF">2024-05-11T08:51:01Z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2C96BEBC94824AC590644962FDED6870_13</vt:lpwstr>
  </property>
</Properties>
</file>