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 w:cs="宋体"/>
          <w:bCs/>
          <w:sz w:val="32"/>
          <w:szCs w:val="32"/>
        </w:rPr>
      </w:pPr>
      <w:r>
        <w:rPr>
          <w:rFonts w:hint="eastAsia" w:ascii="Times New Roman" w:hAnsi="Times New Roman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柳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州市城中区招聘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36"/>
          <w:lang w:val="en-US" w:eastAsia="zh-CN" w:bidi="ar"/>
        </w:rPr>
        <w:t>专职化城市社区工作者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报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户籍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（请从大专（本科）学习经历开始填写，时间按先后顺序且连续，不能有空白期，格式如下：×年×月—×年×月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4BBA5"/>
    <w:multiLevelType w:val="singleLevel"/>
    <w:tmpl w:val="6264BB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415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2023-07-14T09:06:02Z</dcterms:created>
  <dc:creator>Administrator</dc:creator>
  <cp:lastModifiedBy>Administrator</cp:lastModifiedBy>
  <dcterms:modified xsi:type="dcterms:W3CDTF">2023-07-14T09:06:04Z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BE865466757A4F2CBA241E38FAB3F0DC_12</vt:lpwstr>
  </property>
</Properties>
</file>