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hd w:val="clear" w:color="auto" w:fill="FFFFFF"/>
        <w:snapToGrid w:val="0"/>
        <w:spacing w:line="520" w:lineRule="exact"/>
        <w:jc w:val="center"/>
        <w:rPr>
          <w:rFonts w:ascii="方正小标宋简体" w:hAnsi="华文中宋" w:eastAsia="方正小标宋简体"/>
          <w:spacing w:val="-16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6"/>
          <w:sz w:val="44"/>
          <w:szCs w:val="44"/>
        </w:rPr>
        <w:t>铜鼓县</w:t>
      </w:r>
      <w:r>
        <w:rPr>
          <w:rFonts w:ascii="方正小标宋简体" w:hAnsi="华文中宋" w:eastAsia="方正小标宋简体"/>
          <w:spacing w:val="-16"/>
          <w:sz w:val="44"/>
          <w:szCs w:val="44"/>
        </w:rPr>
        <w:t>2020</w:t>
      </w:r>
      <w:r>
        <w:rPr>
          <w:rFonts w:hint="eastAsia" w:ascii="方正小标宋简体" w:hAnsi="华文中宋" w:eastAsia="方正小标宋简体"/>
          <w:spacing w:val="-16"/>
          <w:sz w:val="44"/>
          <w:szCs w:val="44"/>
        </w:rPr>
        <w:t>年引进人才需求目录</w:t>
      </w:r>
    </w:p>
    <w:bookmarkEnd w:id="0"/>
    <w:tbl>
      <w:tblPr>
        <w:tblStyle w:val="3"/>
        <w:tblW w:w="100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90"/>
        <w:gridCol w:w="900"/>
        <w:gridCol w:w="1840"/>
        <w:gridCol w:w="4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0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b/>
                <w:color w:val="000000"/>
                <w:kern w:val="0"/>
                <w:sz w:val="32"/>
                <w:szCs w:val="32"/>
              </w:rPr>
              <w:t>引进岗位</w:t>
            </w:r>
          </w:p>
        </w:tc>
        <w:tc>
          <w:tcPr>
            <w:tcW w:w="199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b/>
                <w:color w:val="000000"/>
                <w:kern w:val="0"/>
                <w:sz w:val="32"/>
                <w:szCs w:val="32"/>
              </w:rPr>
              <w:t>引进单位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07" w:leftChars="-51" w:right="-107" w:rightChars="-51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  <w:t>引进</w:t>
            </w:r>
          </w:p>
          <w:p>
            <w:pPr>
              <w:snapToGrid w:val="0"/>
              <w:spacing w:line="320" w:lineRule="exact"/>
              <w:ind w:left="-107" w:leftChars="-51" w:right="-107" w:rightChars="-51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18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3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楷体_GB2312" w:hAnsi="仿宋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引进对象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事业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管理岗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人）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县纪委监委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专业不限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全日制硕士研究生及以上学历学位（本科学历必须为第一批次录取）。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县委宣传部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县人社局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县财政局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县司法局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县发改委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县民政局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县卫健委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县农业农村局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县市场监督管理局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县应急管理局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县信访局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县扶贫办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县行政服务中心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县生态办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乡镇事业单位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6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教师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人）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铜鼓中学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①全日制硕士研究生及以上（须在本科层次为师范类）；②全日制“双一流”、一流学科建设高校应届师范类本科毕业生（含公费师范生）；③江西师范大学全日制应届师范类本科毕业生。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生物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地理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体育</w:t>
            </w:r>
          </w:p>
        </w:tc>
        <w:tc>
          <w:tcPr>
            <w:tcW w:w="43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铜鼓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县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职业中专学校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  <w:tc>
          <w:tcPr>
            <w:tcW w:w="43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①全日制硕士研究生及以上（须在本科层次为师范类）；②全日制一流学科建设高校应届师范类本科毕业生；③全日制省属重点师范院校应届师范类本科毕业生；④赣南师范大学应届师范类优秀本科毕业。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教师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人）</w:t>
            </w:r>
          </w:p>
        </w:tc>
        <w:tc>
          <w:tcPr>
            <w:tcW w:w="19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铜鼓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县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二中学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</w:t>
            </w:r>
          </w:p>
        </w:tc>
        <w:tc>
          <w:tcPr>
            <w:tcW w:w="43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全日制硕士研究生及以上（须在本科层次为师范类）；②全日制一流学科建设高校应届师范类本科毕业生；③全日制省属重点师范院校应届师范类本科毕业生；④其他师范院校全日制应届师范类优秀本科毕业生；⑤宜春学院应届师范类优秀本科毕业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地理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生物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铜鼓县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温泉中学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4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医生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人）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铜鼓县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人民医院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全日制医学类硕士研究生及以上；②全日制“双一流”、一流学科建设高校应届医学类本科毕业生；③江西省中医药大学、赣南医学院、井冈山大学等省内外全日制应届医学类本科毕业生；④宜春学院等省内外应届医学类紧缺专业本科毕业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铜鼓县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妇幼保健院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铜鼓县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疾控中心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预防医学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其他紧缺专业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名）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县审计局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会计与审计类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全日制“双一流”高校本科毕业生或全日制硕士研究生及以上学历学位。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县文广新旅局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数字媒体、视觉传达设计、市场营销、音乐表演及旅游类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县财政局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exact"/>
              <w:ind w:left="-107" w:leftChars="-5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县工业园区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县商务局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招商服务中心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ind w:left="-98" w:leftChars="-47" w:right="-115" w:rightChars="-5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县工信局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财政金融类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土木工程、消防工程、建筑规划类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县交通运输局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道路桥梁工程类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农业技术推广中心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县林业局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林业类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0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县水利局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下属事业单位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40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水利类</w:t>
            </w:r>
          </w:p>
        </w:tc>
        <w:tc>
          <w:tcPr>
            <w:tcW w:w="43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ind w:firstLine="420" w:firstLineChars="150"/>
        <w:rPr>
          <w:rFonts w:ascii="楷体" w:hAnsi="楷体" w:eastAsia="楷体" w:cs="楷体"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</w:rPr>
        <w:t>注：</w:t>
      </w:r>
      <w:r>
        <w:rPr>
          <w:rFonts w:ascii="楷体" w:hAnsi="楷体" w:eastAsia="楷体" w:cs="楷体"/>
          <w:bCs/>
          <w:color w:val="000000"/>
          <w:kern w:val="0"/>
          <w:sz w:val="28"/>
          <w:szCs w:val="28"/>
        </w:rPr>
        <w:t>1.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</w:rPr>
        <w:t>专业分类参照《江西省</w:t>
      </w:r>
      <w:r>
        <w:rPr>
          <w:rFonts w:ascii="楷体" w:hAnsi="楷体" w:eastAsia="楷体" w:cs="楷体"/>
          <w:bCs/>
          <w:color w:val="000000"/>
          <w:kern w:val="0"/>
          <w:sz w:val="28"/>
          <w:szCs w:val="28"/>
        </w:rPr>
        <w:t>2019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</w:rPr>
        <w:t>年度考试录用公务员专业条件设置指导目录》执行；</w:t>
      </w:r>
      <w:r>
        <w:rPr>
          <w:rFonts w:ascii="楷体" w:hAnsi="楷体" w:eastAsia="楷体" w:cs="楷体"/>
          <w:bCs/>
          <w:color w:val="000000"/>
          <w:kern w:val="0"/>
          <w:sz w:val="28"/>
          <w:szCs w:val="28"/>
        </w:rPr>
        <w:t>2.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</w:rPr>
        <w:t>经县委人才工作领导小组研究，引进岗位计划根据引进人才专业情况和岗位需求可作适当调整。</w:t>
      </w:r>
    </w:p>
    <w:p>
      <w:pPr>
        <w:shd w:val="clear" w:color="auto" w:fill="FFFFFF"/>
        <w:snapToGrid w:val="0"/>
        <w:spacing w:line="520" w:lineRule="exact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B7804"/>
    <w:rsid w:val="7D0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2019-12-20T01:49:00Z</dcterms:created>
  <dc:creator>c</dc:creator>
  <cp:lastModifiedBy>c</cp:lastModifiedBy>
  <dcterms:modified xsi:type="dcterms:W3CDTF">2019-12-20T01:49:56Z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